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left="0" w:right="0" w:firstLine="0"/>
        <w:rPr>
          <w:rFonts w:ascii="Times New Roman"/>
          <w:sz w:val="20"/>
        </w:rPr>
      </w:pPr>
      <w:bookmarkStart w:id="91" w:name="_GoBack"/>
      <w:bookmarkEnd w:id="91"/>
    </w:p>
    <w:p>
      <w:pPr>
        <w:spacing w:before="101"/>
        <w:ind w:left="0" w:right="255" w:firstLine="0"/>
        <w:jc w:val="center"/>
        <w:rPr>
          <w:rFonts w:hint="eastAsia" w:ascii="宋体" w:eastAsia="宋体"/>
          <w:b/>
          <w:sz w:val="96"/>
        </w:rPr>
      </w:pPr>
      <w:bookmarkStart w:id="0" w:name="健康中国行动"/>
      <w:bookmarkEnd w:id="0"/>
      <w:r>
        <w:rPr>
          <w:rFonts w:hint="eastAsia" w:ascii="宋体" w:eastAsia="宋体"/>
          <w:b/>
          <w:sz w:val="96"/>
        </w:rPr>
        <w:t>健康中国行动</w:t>
      </w:r>
    </w:p>
    <w:p>
      <w:pPr>
        <w:spacing w:before="199"/>
        <w:ind w:left="0" w:right="257" w:firstLine="0"/>
        <w:jc w:val="center"/>
        <w:rPr>
          <w:rFonts w:hint="eastAsia" w:ascii="楷体" w:eastAsia="楷体"/>
          <w:b/>
          <w:sz w:val="52"/>
        </w:rPr>
      </w:pPr>
      <w:bookmarkStart w:id="1" w:name="（2019-2030年）"/>
      <w:bookmarkEnd w:id="1"/>
      <w:r>
        <w:rPr>
          <w:rFonts w:hint="eastAsia" w:ascii="楷体" w:eastAsia="楷体"/>
          <w:b/>
          <w:sz w:val="52"/>
        </w:rPr>
        <w:t>（2019-2030</w:t>
      </w:r>
      <w:r>
        <w:rPr>
          <w:rFonts w:hint="eastAsia" w:ascii="楷体" w:eastAsia="楷体"/>
          <w:b/>
          <w:spacing w:val="-67"/>
          <w:sz w:val="52"/>
        </w:rPr>
        <w:t xml:space="preserve"> 年</w:t>
      </w:r>
      <w:r>
        <w:rPr>
          <w:rFonts w:hint="eastAsia" w:ascii="楷体" w:eastAsia="楷体"/>
          <w:b/>
          <w:sz w:val="52"/>
        </w:rPr>
        <w:t>）</w:t>
      </w:r>
    </w:p>
    <w:p>
      <w:pPr>
        <w:pStyle w:val="3"/>
        <w:spacing w:before="0"/>
        <w:ind w:left="0" w:right="0" w:firstLine="0"/>
        <w:rPr>
          <w:rFonts w:ascii="楷体"/>
          <w:b/>
          <w:sz w:val="52"/>
        </w:rPr>
      </w:pPr>
    </w:p>
    <w:p>
      <w:pPr>
        <w:pStyle w:val="3"/>
        <w:spacing w:before="0"/>
        <w:ind w:left="0" w:right="0" w:firstLine="0"/>
        <w:rPr>
          <w:rFonts w:ascii="楷体"/>
          <w:b/>
          <w:sz w:val="52"/>
        </w:rPr>
      </w:pPr>
    </w:p>
    <w:p>
      <w:pPr>
        <w:pStyle w:val="3"/>
        <w:spacing w:before="0"/>
        <w:ind w:left="0" w:right="0" w:firstLine="0"/>
        <w:rPr>
          <w:rFonts w:ascii="楷体"/>
          <w:b/>
          <w:sz w:val="52"/>
        </w:rPr>
      </w:pPr>
    </w:p>
    <w:p>
      <w:pPr>
        <w:pStyle w:val="3"/>
        <w:spacing w:before="0"/>
        <w:ind w:left="0" w:right="0" w:firstLine="0"/>
        <w:rPr>
          <w:rFonts w:ascii="楷体"/>
          <w:b/>
          <w:sz w:val="52"/>
        </w:rPr>
      </w:pPr>
    </w:p>
    <w:p>
      <w:pPr>
        <w:pStyle w:val="3"/>
        <w:spacing w:before="0"/>
        <w:ind w:left="0" w:right="0" w:firstLine="0"/>
        <w:rPr>
          <w:rFonts w:ascii="楷体"/>
          <w:b/>
          <w:sz w:val="52"/>
        </w:rPr>
      </w:pPr>
    </w:p>
    <w:p>
      <w:pPr>
        <w:pStyle w:val="3"/>
        <w:spacing w:before="0"/>
        <w:ind w:left="0" w:right="0" w:firstLine="0"/>
        <w:rPr>
          <w:rFonts w:ascii="楷体"/>
          <w:b/>
          <w:sz w:val="52"/>
        </w:rPr>
      </w:pPr>
    </w:p>
    <w:p>
      <w:pPr>
        <w:pStyle w:val="3"/>
        <w:spacing w:before="0"/>
        <w:ind w:left="0" w:right="0" w:firstLine="0"/>
        <w:rPr>
          <w:rFonts w:ascii="楷体"/>
          <w:b/>
          <w:sz w:val="52"/>
        </w:rPr>
      </w:pPr>
    </w:p>
    <w:p>
      <w:pPr>
        <w:pStyle w:val="3"/>
        <w:spacing w:before="0"/>
        <w:ind w:left="0" w:right="0" w:firstLine="0"/>
        <w:rPr>
          <w:rFonts w:ascii="楷体"/>
          <w:b/>
          <w:sz w:val="52"/>
        </w:rPr>
      </w:pPr>
    </w:p>
    <w:p>
      <w:pPr>
        <w:pStyle w:val="3"/>
        <w:spacing w:before="0"/>
        <w:ind w:left="0" w:right="0" w:firstLine="0"/>
        <w:rPr>
          <w:rFonts w:ascii="楷体"/>
          <w:b/>
          <w:sz w:val="52"/>
        </w:rPr>
      </w:pPr>
    </w:p>
    <w:p>
      <w:pPr>
        <w:spacing w:before="351" w:line="264" w:lineRule="auto"/>
        <w:ind w:left="2241" w:right="2494" w:firstLine="0"/>
        <w:jc w:val="center"/>
        <w:rPr>
          <w:rFonts w:hint="eastAsia" w:ascii="黑体" w:eastAsia="黑体"/>
          <w:b/>
          <w:sz w:val="44"/>
        </w:rPr>
      </w:pPr>
      <w:bookmarkStart w:id="2" w:name="健康中国行动推进委员会"/>
      <w:bookmarkEnd w:id="2"/>
      <w:r>
        <w:rPr>
          <w:rFonts w:hint="eastAsia" w:ascii="黑体" w:eastAsia="黑体"/>
          <w:b/>
          <w:spacing w:val="-2"/>
          <w:w w:val="95"/>
          <w:sz w:val="44"/>
        </w:rPr>
        <w:t>健康中国行动推进委员会</w:t>
      </w:r>
      <w:bookmarkStart w:id="3" w:name="2019年7月9日"/>
      <w:bookmarkEnd w:id="3"/>
      <w:r>
        <w:rPr>
          <w:rFonts w:hint="eastAsia" w:ascii="黑体" w:eastAsia="黑体"/>
          <w:b/>
          <w:sz w:val="44"/>
        </w:rPr>
        <w:t>2019</w:t>
      </w:r>
      <w:r>
        <w:rPr>
          <w:rFonts w:hint="eastAsia" w:ascii="黑体" w:eastAsia="黑体"/>
          <w:b/>
          <w:spacing w:val="-74"/>
          <w:sz w:val="44"/>
        </w:rPr>
        <w:t xml:space="preserve"> 年 </w:t>
      </w:r>
      <w:r>
        <w:rPr>
          <w:rFonts w:hint="eastAsia" w:ascii="黑体" w:eastAsia="黑体"/>
          <w:b/>
          <w:sz w:val="44"/>
        </w:rPr>
        <w:t>7</w:t>
      </w:r>
      <w:r>
        <w:rPr>
          <w:rFonts w:hint="eastAsia" w:ascii="黑体" w:eastAsia="黑体"/>
          <w:b/>
          <w:spacing w:val="-75"/>
          <w:sz w:val="44"/>
        </w:rPr>
        <w:t xml:space="preserve"> 月 </w:t>
      </w:r>
      <w:r>
        <w:rPr>
          <w:rFonts w:hint="eastAsia" w:ascii="黑体" w:eastAsia="黑体"/>
          <w:b/>
          <w:sz w:val="44"/>
        </w:rPr>
        <w:t>9</w:t>
      </w:r>
      <w:r>
        <w:rPr>
          <w:rFonts w:hint="eastAsia" w:ascii="黑体" w:eastAsia="黑体"/>
          <w:b/>
          <w:spacing w:val="-56"/>
          <w:sz w:val="44"/>
        </w:rPr>
        <w:t xml:space="preserve"> 日</w:t>
      </w:r>
    </w:p>
    <w:p>
      <w:pPr>
        <w:spacing w:after="0" w:line="264" w:lineRule="auto"/>
        <w:jc w:val="center"/>
        <w:rPr>
          <w:rFonts w:hint="eastAsia" w:ascii="黑体" w:eastAsia="黑体"/>
          <w:sz w:val="44"/>
        </w:rPr>
        <w:sectPr>
          <w:type w:val="continuous"/>
          <w:pgSz w:w="11910" w:h="16840"/>
          <w:pgMar w:top="1580" w:right="1140" w:bottom="280" w:left="1400" w:header="720" w:footer="720" w:gutter="0"/>
        </w:sectPr>
      </w:pPr>
    </w:p>
    <w:p>
      <w:pPr>
        <w:spacing w:before="17"/>
        <w:ind w:left="0" w:right="250" w:firstLine="0"/>
        <w:jc w:val="center"/>
        <w:rPr>
          <w:rFonts w:hint="eastAsia" w:ascii="宋体" w:hAnsi="宋体" w:eastAsia="宋体"/>
          <w:b/>
          <w:sz w:val="44"/>
        </w:rPr>
      </w:pPr>
      <w:bookmarkStart w:id="4" w:name="健康中国行动（2019—2030年）"/>
      <w:bookmarkEnd w:id="4"/>
      <w:r>
        <w:rPr>
          <w:rFonts w:hint="eastAsia" w:ascii="宋体" w:hAnsi="宋体" w:eastAsia="宋体"/>
          <w:b/>
          <w:sz w:val="44"/>
        </w:rPr>
        <w:t>健康中国行动（2019—2030</w:t>
      </w:r>
      <w:r>
        <w:rPr>
          <w:rFonts w:hint="eastAsia" w:ascii="宋体" w:hAnsi="宋体" w:eastAsia="宋体"/>
          <w:b/>
          <w:spacing w:val="-57"/>
          <w:sz w:val="44"/>
        </w:rPr>
        <w:t xml:space="preserve"> 年</w:t>
      </w:r>
      <w:r>
        <w:rPr>
          <w:rFonts w:hint="eastAsia" w:ascii="宋体" w:hAnsi="宋体" w:eastAsia="宋体"/>
          <w:b/>
          <w:sz w:val="44"/>
        </w:rPr>
        <w:t>）</w:t>
      </w:r>
    </w:p>
    <w:p>
      <w:pPr>
        <w:pStyle w:val="2"/>
        <w:tabs>
          <w:tab w:val="left" w:leader="dot" w:pos="8135"/>
        </w:tabs>
        <w:spacing w:before="795"/>
        <w:ind w:left="0" w:right="268"/>
        <w:jc w:val="center"/>
        <w:rPr>
          <w:rFonts w:ascii="Times New Roman" w:eastAsia="Times New Roman"/>
        </w:rPr>
      </w:pPr>
      <w:r>
        <w:rPr>
          <w:rFonts w:hint="eastAsia" w:ascii="黑体" w:eastAsia="黑体"/>
        </w:rPr>
        <w:t>引言</w:t>
      </w:r>
      <w:r>
        <w:rPr>
          <w:rFonts w:hint="eastAsia" w:ascii="黑体" w:eastAsia="黑体"/>
        </w:rPr>
        <w:tab/>
      </w:r>
      <w:r>
        <w:rPr>
          <w:rFonts w:ascii="Times New Roman" w:eastAsia="Times New Roman"/>
        </w:rPr>
        <w:t>6</w:t>
      </w:r>
    </w:p>
    <w:p>
      <w:pPr>
        <w:pStyle w:val="2"/>
        <w:tabs>
          <w:tab w:val="left" w:leader="dot" w:pos="8535"/>
        </w:tabs>
        <w:spacing w:before="228"/>
        <w:ind w:left="400"/>
        <w:rPr>
          <w:rFonts w:ascii="Times New Roman" w:eastAsia="Times New Roman"/>
        </w:rPr>
      </w:pPr>
      <w:r>
        <w:rPr>
          <w:rFonts w:hint="eastAsia" w:ascii="黑体" w:eastAsia="黑体"/>
        </w:rPr>
        <w:t>一、总体要求</w:t>
      </w:r>
      <w:r>
        <w:rPr>
          <w:rFonts w:hint="eastAsia" w:ascii="黑体" w:eastAsia="黑体"/>
        </w:rPr>
        <w:tab/>
      </w:r>
      <w:r>
        <w:rPr>
          <w:rFonts w:ascii="Times New Roman" w:eastAsia="Times New Roman"/>
        </w:rPr>
        <w:t>7</w:t>
      </w:r>
    </w:p>
    <w:p>
      <w:pPr>
        <w:pStyle w:val="2"/>
        <w:tabs>
          <w:tab w:val="left" w:leader="dot" w:pos="8535"/>
        </w:tabs>
        <w:spacing w:before="231"/>
        <w:ind w:left="400"/>
        <w:rPr>
          <w:rFonts w:ascii="Times New Roman" w:eastAsia="Times New Roman"/>
        </w:rPr>
      </w:pPr>
      <w:r>
        <w:t>（一）指导思想</w:t>
      </w:r>
      <w:r>
        <w:tab/>
      </w:r>
      <w:r>
        <w:rPr>
          <w:rFonts w:ascii="Times New Roman" w:eastAsia="Times New Roman"/>
        </w:rPr>
        <w:t>7</w:t>
      </w:r>
    </w:p>
    <w:p>
      <w:pPr>
        <w:pStyle w:val="2"/>
        <w:tabs>
          <w:tab w:val="left" w:leader="dot" w:pos="8535"/>
        </w:tabs>
        <w:spacing w:before="231"/>
        <w:ind w:left="400"/>
        <w:rPr>
          <w:rFonts w:ascii="Times New Roman" w:eastAsia="Times New Roman"/>
        </w:rPr>
      </w:pPr>
      <w:r>
        <w:t>（二）基本路径</w:t>
      </w:r>
      <w:r>
        <w:tab/>
      </w:r>
      <w:r>
        <w:rPr>
          <w:rFonts w:ascii="Times New Roman" w:eastAsia="Times New Roman"/>
        </w:rPr>
        <w:t>7</w:t>
      </w:r>
    </w:p>
    <w:p>
      <w:pPr>
        <w:pStyle w:val="2"/>
        <w:tabs>
          <w:tab w:val="left" w:leader="dot" w:pos="8535"/>
        </w:tabs>
        <w:spacing w:before="228"/>
        <w:ind w:left="400"/>
        <w:rPr>
          <w:rFonts w:ascii="Times New Roman" w:eastAsia="Times New Roman"/>
        </w:rPr>
      </w:pPr>
      <w:r>
        <w:t>（三）总体目标</w:t>
      </w:r>
      <w:r>
        <w:tab/>
      </w:r>
      <w:r>
        <w:rPr>
          <w:rFonts w:ascii="Times New Roman" w:eastAsia="Times New Roman"/>
        </w:rPr>
        <w:t>8</w:t>
      </w:r>
    </w:p>
    <w:p>
      <w:pPr>
        <w:pStyle w:val="2"/>
        <w:tabs>
          <w:tab w:val="left" w:leader="dot" w:pos="8535"/>
        </w:tabs>
        <w:spacing w:before="231"/>
        <w:ind w:left="400"/>
        <w:rPr>
          <w:rFonts w:ascii="Times New Roman" w:eastAsia="Times New Roman"/>
        </w:rPr>
      </w:pPr>
      <w:r>
        <w:rPr>
          <w:rFonts w:hint="eastAsia" w:ascii="黑体" w:eastAsia="黑体"/>
        </w:rPr>
        <w:t>二、主要指标</w:t>
      </w:r>
      <w:r>
        <w:rPr>
          <w:rFonts w:hint="eastAsia" w:ascii="黑体" w:eastAsia="黑体"/>
        </w:rPr>
        <w:tab/>
      </w:r>
      <w:r>
        <w:rPr>
          <w:rFonts w:ascii="Times New Roman" w:eastAsia="Times New Roman"/>
        </w:rPr>
        <w:t>9</w:t>
      </w:r>
    </w:p>
    <w:p>
      <w:pPr>
        <w:pStyle w:val="2"/>
        <w:tabs>
          <w:tab w:val="left" w:leader="dot" w:pos="8375"/>
        </w:tabs>
        <w:spacing w:before="231"/>
        <w:ind w:left="400"/>
        <w:rPr>
          <w:rFonts w:ascii="Times New Roman" w:eastAsia="Times New Roman"/>
        </w:rPr>
      </w:pPr>
      <w:r>
        <w:rPr>
          <w:rFonts w:hint="eastAsia" w:ascii="黑体" w:eastAsia="黑体"/>
        </w:rPr>
        <w:t>三、重大行动</w:t>
      </w:r>
      <w:r>
        <w:rPr>
          <w:rFonts w:hint="eastAsia" w:ascii="黑体" w:eastAsia="黑体"/>
        </w:rPr>
        <w:tab/>
      </w:r>
      <w:r>
        <w:rPr>
          <w:rFonts w:ascii="Times New Roman" w:eastAsia="Times New Roman"/>
        </w:rPr>
        <w:t>22</w:t>
      </w:r>
    </w:p>
    <w:p>
      <w:pPr>
        <w:pStyle w:val="2"/>
        <w:tabs>
          <w:tab w:val="left" w:leader="dot" w:pos="8375"/>
        </w:tabs>
        <w:spacing w:before="228"/>
        <w:ind w:left="400"/>
        <w:rPr>
          <w:rFonts w:ascii="Times New Roman" w:eastAsia="Times New Roman"/>
        </w:rPr>
      </w:pPr>
      <w:r>
        <w:t>（一）健康知识普及行动</w:t>
      </w:r>
      <w:r>
        <w:tab/>
      </w:r>
      <w:r>
        <w:rPr>
          <w:rFonts w:ascii="Times New Roman" w:eastAsia="Times New Roman"/>
        </w:rPr>
        <w:t>22</w:t>
      </w:r>
    </w:p>
    <w:p>
      <w:pPr>
        <w:spacing w:before="220" w:line="374" w:lineRule="auto"/>
        <w:ind w:left="400" w:right="508" w:firstLine="600"/>
        <w:jc w:val="left"/>
        <w:rPr>
          <w:rFonts w:hint="eastAsia" w:ascii="楷体" w:eastAsia="楷体"/>
          <w:sz w:val="30"/>
        </w:rPr>
      </w:pPr>
      <w:r>
        <w:rPr>
          <w:rFonts w:hint="eastAsia" w:ascii="楷体" w:eastAsia="楷体"/>
          <w:sz w:val="30"/>
        </w:rPr>
        <w:t xml:space="preserve">每个人是自己健康的第一责任人。世界卫生组织研究发现， </w:t>
      </w:r>
      <w:r>
        <w:rPr>
          <w:rFonts w:hint="eastAsia" w:ascii="楷体" w:eastAsia="楷体"/>
          <w:spacing w:val="-4"/>
          <w:sz w:val="30"/>
        </w:rPr>
        <w:t xml:space="preserve">个人行为与生活方式因素对健康的影响占到 </w:t>
      </w:r>
      <w:r>
        <w:rPr>
          <w:rFonts w:ascii="Times New Roman" w:eastAsia="Times New Roman"/>
          <w:sz w:val="30"/>
        </w:rPr>
        <w:t>60%</w:t>
      </w:r>
      <w:r>
        <w:rPr>
          <w:rFonts w:hint="eastAsia" w:ascii="楷体" w:eastAsia="楷体"/>
          <w:spacing w:val="-18"/>
          <w:sz w:val="30"/>
        </w:rPr>
        <w:t>。本行动旨在帮</w:t>
      </w:r>
      <w:r>
        <w:rPr>
          <w:rFonts w:hint="eastAsia" w:ascii="楷体" w:eastAsia="楷体"/>
          <w:spacing w:val="-21"/>
          <w:sz w:val="30"/>
        </w:rPr>
        <w:t>助每个人学习、了解、掌握有关预防疾病、早期发现、紧急救援、</w:t>
      </w:r>
      <w:r>
        <w:rPr>
          <w:rFonts w:hint="eastAsia" w:ascii="楷体" w:eastAsia="楷体"/>
          <w:spacing w:val="-9"/>
          <w:sz w:val="30"/>
        </w:rPr>
        <w:t>及时就医、合理用药等维护健康的知识与技能，增强自我主动健康意识，不断提高健康管理能力。</w:t>
      </w:r>
    </w:p>
    <w:p>
      <w:pPr>
        <w:pStyle w:val="2"/>
        <w:tabs>
          <w:tab w:val="left" w:leader="dot" w:pos="8375"/>
        </w:tabs>
        <w:spacing w:before="13"/>
        <w:ind w:left="400"/>
        <w:rPr>
          <w:rFonts w:ascii="Times New Roman" w:eastAsia="Times New Roman"/>
        </w:rPr>
      </w:pPr>
      <w:r>
        <w:t>（二）合理膳食行动</w:t>
      </w:r>
      <w:r>
        <w:tab/>
      </w:r>
      <w:r>
        <w:rPr>
          <w:rFonts w:ascii="Times New Roman" w:eastAsia="Times New Roman"/>
        </w:rPr>
        <w:t>28</w:t>
      </w:r>
    </w:p>
    <w:p>
      <w:pPr>
        <w:spacing w:before="217" w:line="374" w:lineRule="auto"/>
        <w:ind w:left="400" w:right="614" w:firstLine="600"/>
        <w:jc w:val="both"/>
        <w:rPr>
          <w:rFonts w:hint="eastAsia" w:ascii="楷体" w:eastAsia="楷体"/>
          <w:sz w:val="30"/>
        </w:rPr>
      </w:pPr>
      <w:r>
        <w:rPr>
          <w:rFonts w:hint="eastAsia" w:ascii="楷体" w:eastAsia="楷体"/>
          <w:spacing w:val="-8"/>
          <w:sz w:val="30"/>
        </w:rPr>
        <w:t>合理膳食是健康的基础。研究结果显示，饮食风险因素导致</w:t>
      </w:r>
      <w:r>
        <w:rPr>
          <w:rFonts w:hint="eastAsia" w:ascii="楷体" w:eastAsia="楷体"/>
          <w:spacing w:val="-17"/>
          <w:sz w:val="30"/>
        </w:rPr>
        <w:t xml:space="preserve">的疾病负担占到 </w:t>
      </w:r>
      <w:r>
        <w:rPr>
          <w:rFonts w:ascii="Times New Roman" w:eastAsia="Times New Roman"/>
          <w:sz w:val="30"/>
        </w:rPr>
        <w:t>15.9%</w:t>
      </w:r>
      <w:r>
        <w:rPr>
          <w:rFonts w:hint="eastAsia" w:ascii="楷体" w:eastAsia="楷体"/>
          <w:spacing w:val="-1"/>
          <w:sz w:val="30"/>
        </w:rPr>
        <w:t>，已成为影响人群健康的主要危险因素。</w:t>
      </w:r>
      <w:r>
        <w:rPr>
          <w:rFonts w:hint="eastAsia" w:ascii="楷体" w:eastAsia="楷体"/>
          <w:spacing w:val="-8"/>
          <w:sz w:val="30"/>
        </w:rPr>
        <w:t>本行动旨在对一般人群、超重和肥胖人群、贫血与消瘦等营养不</w:t>
      </w:r>
      <w:r>
        <w:rPr>
          <w:rFonts w:hint="eastAsia" w:ascii="楷体" w:eastAsia="楷体"/>
          <w:spacing w:val="-11"/>
          <w:sz w:val="30"/>
        </w:rPr>
        <w:t>良人群、孕妇和婴幼儿等特定人群，分别给出膳食指导建议，并提出政府和社会应采取的主要举措。</w:t>
      </w:r>
    </w:p>
    <w:p>
      <w:pPr>
        <w:pStyle w:val="2"/>
        <w:tabs>
          <w:tab w:val="left" w:leader="dot" w:pos="8375"/>
        </w:tabs>
        <w:spacing w:before="16"/>
        <w:ind w:left="400"/>
        <w:rPr>
          <w:rFonts w:ascii="Times New Roman" w:eastAsia="Times New Roman"/>
        </w:rPr>
      </w:pPr>
      <w:r>
        <w:t>（三）全民健身行动</w:t>
      </w:r>
      <w:r>
        <w:tab/>
      </w:r>
      <w:r>
        <w:rPr>
          <w:rFonts w:ascii="Times New Roman" w:eastAsia="Times New Roman"/>
        </w:rPr>
        <w:t>33</w:t>
      </w:r>
    </w:p>
    <w:p>
      <w:pPr>
        <w:spacing w:after="0"/>
        <w:rPr>
          <w:rFonts w:ascii="Times New Roman" w:eastAsia="Times New Roman"/>
        </w:rPr>
        <w:sectPr>
          <w:footerReference r:id="rId3" w:type="default"/>
          <w:pgSz w:w="11910" w:h="16840"/>
          <w:pgMar w:top="1460" w:right="1140" w:bottom="1360" w:left="1400" w:header="0" w:footer="1171" w:gutter="0"/>
          <w:pgNumType w:start="1"/>
        </w:sectPr>
      </w:pPr>
    </w:p>
    <w:p>
      <w:pPr>
        <w:spacing w:before="43" w:line="374" w:lineRule="auto"/>
        <w:ind w:left="400" w:right="657" w:firstLine="600"/>
        <w:jc w:val="both"/>
        <w:rPr>
          <w:rFonts w:hint="eastAsia" w:ascii="楷体" w:eastAsia="楷体"/>
          <w:sz w:val="30"/>
        </w:rPr>
      </w:pPr>
      <w:r>
        <w:rPr>
          <w:rFonts w:hint="eastAsia" w:ascii="楷体" w:eastAsia="楷体"/>
          <w:spacing w:val="-11"/>
          <w:sz w:val="30"/>
        </w:rPr>
        <w:t xml:space="preserve">生命在于运动，运动需要科学。我国城乡居民经常参加体育锻炼的比例为 </w:t>
      </w:r>
      <w:r>
        <w:rPr>
          <w:rFonts w:ascii="Times New Roman" w:eastAsia="Times New Roman"/>
          <w:spacing w:val="-8"/>
          <w:sz w:val="30"/>
        </w:rPr>
        <w:t>33.9%</w:t>
      </w:r>
      <w:r>
        <w:rPr>
          <w:rFonts w:hint="eastAsia" w:ascii="楷体" w:eastAsia="楷体"/>
          <w:spacing w:val="-4"/>
          <w:sz w:val="30"/>
        </w:rPr>
        <w:t>，缺乏身体活动成为慢性病发生的主要原因</w:t>
      </w:r>
      <w:r>
        <w:rPr>
          <w:rFonts w:hint="eastAsia" w:ascii="楷体" w:eastAsia="楷体"/>
          <w:spacing w:val="-11"/>
          <w:sz w:val="30"/>
        </w:rPr>
        <w:t>之一。本行动主要对健康成年人、老年人、单纯性肥胖患者以及</w:t>
      </w:r>
      <w:r>
        <w:rPr>
          <w:rFonts w:hint="eastAsia" w:ascii="楷体" w:eastAsia="楷体"/>
          <w:spacing w:val="-8"/>
          <w:sz w:val="30"/>
        </w:rPr>
        <w:t>以体力劳动为主的人群，分别给出身体活动指导建议，并提出政</w:t>
      </w:r>
      <w:r>
        <w:rPr>
          <w:rFonts w:hint="eastAsia" w:ascii="楷体" w:eastAsia="楷体"/>
          <w:sz w:val="30"/>
        </w:rPr>
        <w:t>府和社会应采取的主要举措。</w:t>
      </w:r>
    </w:p>
    <w:p>
      <w:pPr>
        <w:pStyle w:val="2"/>
        <w:tabs>
          <w:tab w:val="left" w:leader="dot" w:pos="7975"/>
        </w:tabs>
        <w:spacing w:before="13"/>
        <w:ind w:left="0" w:right="668"/>
        <w:jc w:val="right"/>
        <w:rPr>
          <w:rFonts w:ascii="Times New Roman" w:eastAsia="Times New Roman"/>
        </w:rPr>
      </w:pPr>
      <w:r>
        <w:t>（四）控烟行动</w:t>
      </w:r>
      <w:r>
        <w:tab/>
      </w:r>
      <w:r>
        <w:rPr>
          <w:rFonts w:ascii="Times New Roman" w:eastAsia="Times New Roman"/>
          <w:w w:val="95"/>
        </w:rPr>
        <w:t>37</w:t>
      </w:r>
    </w:p>
    <w:p>
      <w:pPr>
        <w:spacing w:before="219"/>
        <w:ind w:left="0" w:right="657" w:firstLine="0"/>
        <w:jc w:val="right"/>
        <w:rPr>
          <w:rFonts w:hint="eastAsia" w:ascii="楷体" w:eastAsia="楷体"/>
          <w:sz w:val="30"/>
        </w:rPr>
      </w:pPr>
      <w:r>
        <w:rPr>
          <w:rFonts w:hint="eastAsia" w:ascii="楷体" w:eastAsia="楷体"/>
          <w:spacing w:val="-10"/>
          <w:sz w:val="30"/>
        </w:rPr>
        <w:t xml:space="preserve">烟草严重危害人民健康。根据世界卫生组织报告，每 </w:t>
      </w:r>
      <w:r>
        <w:rPr>
          <w:rFonts w:ascii="Times New Roman" w:eastAsia="Times New Roman"/>
          <w:sz w:val="30"/>
        </w:rPr>
        <w:t xml:space="preserve">3 </w:t>
      </w:r>
      <w:r>
        <w:rPr>
          <w:rFonts w:hint="eastAsia" w:ascii="楷体" w:eastAsia="楷体"/>
          <w:sz w:val="30"/>
        </w:rPr>
        <w:t>个吸</w:t>
      </w:r>
    </w:p>
    <w:p>
      <w:pPr>
        <w:spacing w:before="216"/>
        <w:ind w:left="400" w:right="0" w:firstLine="0"/>
        <w:jc w:val="left"/>
        <w:rPr>
          <w:rFonts w:hint="eastAsia" w:ascii="楷体" w:eastAsia="楷体"/>
          <w:sz w:val="30"/>
        </w:rPr>
      </w:pPr>
      <w:r>
        <w:rPr>
          <w:rFonts w:hint="eastAsia" w:ascii="楷体" w:eastAsia="楷体"/>
          <w:spacing w:val="-13"/>
          <w:sz w:val="30"/>
        </w:rPr>
        <w:t xml:space="preserve">烟者中就有 </w:t>
      </w:r>
      <w:r>
        <w:rPr>
          <w:rFonts w:ascii="Times New Roman" w:eastAsia="Times New Roman"/>
          <w:sz w:val="30"/>
        </w:rPr>
        <w:t xml:space="preserve">1 </w:t>
      </w:r>
      <w:r>
        <w:rPr>
          <w:rFonts w:hint="eastAsia" w:ascii="楷体" w:eastAsia="楷体"/>
          <w:spacing w:val="-10"/>
          <w:sz w:val="30"/>
        </w:rPr>
        <w:t>个死于吸烟相关疾病，吸烟者的平均寿命比非吸烟</w:t>
      </w:r>
    </w:p>
    <w:p>
      <w:pPr>
        <w:spacing w:before="216" w:line="374" w:lineRule="auto"/>
        <w:ind w:left="400" w:right="506" w:firstLine="0"/>
        <w:jc w:val="left"/>
        <w:rPr>
          <w:rFonts w:hint="eastAsia" w:ascii="楷体" w:eastAsia="楷体"/>
          <w:sz w:val="30"/>
        </w:rPr>
      </w:pPr>
      <w:r>
        <w:rPr>
          <w:rFonts w:hint="eastAsia" w:ascii="楷体" w:eastAsia="楷体"/>
          <w:spacing w:val="-19"/>
          <w:sz w:val="30"/>
        </w:rPr>
        <w:t xml:space="preserve">者缩短 </w:t>
      </w:r>
      <w:r>
        <w:rPr>
          <w:rFonts w:ascii="Times New Roman" w:eastAsia="Times New Roman"/>
          <w:sz w:val="30"/>
        </w:rPr>
        <w:t xml:space="preserve">10 </w:t>
      </w:r>
      <w:r>
        <w:rPr>
          <w:rFonts w:hint="eastAsia" w:ascii="楷体" w:eastAsia="楷体"/>
          <w:spacing w:val="-12"/>
          <w:sz w:val="30"/>
        </w:rPr>
        <w:t>年。本行动针对烟草危害，提出了个人和家庭、社会、</w:t>
      </w:r>
      <w:r>
        <w:rPr>
          <w:rFonts w:hint="eastAsia" w:ascii="楷体" w:eastAsia="楷体"/>
          <w:sz w:val="30"/>
        </w:rPr>
        <w:t>政府应采取的主要举措。</w:t>
      </w:r>
    </w:p>
    <w:p>
      <w:pPr>
        <w:pStyle w:val="2"/>
        <w:tabs>
          <w:tab w:val="left" w:leader="dot" w:pos="8375"/>
        </w:tabs>
        <w:spacing w:before="12"/>
        <w:ind w:left="400"/>
        <w:rPr>
          <w:rFonts w:ascii="Times New Roman" w:eastAsia="Times New Roman"/>
        </w:rPr>
      </w:pPr>
      <w:r>
        <w:t>（五）心理健康促进行动</w:t>
      </w:r>
      <w:r>
        <w:tab/>
      </w:r>
      <w:r>
        <w:rPr>
          <w:rFonts w:ascii="Times New Roman" w:eastAsia="Times New Roman"/>
        </w:rPr>
        <w:t>41</w:t>
      </w:r>
    </w:p>
    <w:p>
      <w:pPr>
        <w:spacing w:before="217" w:line="374" w:lineRule="auto"/>
        <w:ind w:left="400" w:right="589" w:firstLine="600"/>
        <w:jc w:val="both"/>
        <w:rPr>
          <w:rFonts w:hint="eastAsia" w:ascii="楷体" w:eastAsia="楷体"/>
          <w:sz w:val="30"/>
        </w:rPr>
      </w:pPr>
      <w:r>
        <w:rPr>
          <w:rFonts w:hint="eastAsia" w:ascii="楷体" w:eastAsia="楷体"/>
          <w:spacing w:val="-7"/>
          <w:sz w:val="30"/>
        </w:rPr>
        <w:t>心理健康是健康的重要组成部分。近年来，我国以抑郁障碍</w:t>
      </w:r>
      <w:r>
        <w:rPr>
          <w:rFonts w:hint="eastAsia" w:ascii="楷体" w:eastAsia="楷体"/>
          <w:spacing w:val="-12"/>
          <w:sz w:val="30"/>
        </w:rPr>
        <w:t>为主的心境障碍和焦虑障碍患病率呈上升趋势，抑郁症患病率为</w:t>
      </w:r>
      <w:r>
        <w:rPr>
          <w:rFonts w:ascii="Times New Roman" w:eastAsia="Times New Roman"/>
          <w:spacing w:val="-12"/>
          <w:sz w:val="30"/>
        </w:rPr>
        <w:t>2.1%</w:t>
      </w:r>
      <w:r>
        <w:rPr>
          <w:rFonts w:hint="eastAsia" w:ascii="楷体" w:eastAsia="楷体"/>
          <w:spacing w:val="-19"/>
          <w:sz w:val="30"/>
        </w:rPr>
        <w:t xml:space="preserve">，焦虑障碍患病率达 </w:t>
      </w:r>
      <w:r>
        <w:rPr>
          <w:rFonts w:ascii="Times New Roman" w:eastAsia="Times New Roman"/>
          <w:sz w:val="30"/>
        </w:rPr>
        <w:t>4.98%</w:t>
      </w:r>
      <w:r>
        <w:rPr>
          <w:rFonts w:hint="eastAsia" w:ascii="楷体" w:eastAsia="楷体"/>
          <w:spacing w:val="-2"/>
          <w:sz w:val="30"/>
        </w:rPr>
        <w:t>。本行动给出正确认识、识别、</w:t>
      </w:r>
      <w:r>
        <w:rPr>
          <w:rFonts w:hint="eastAsia" w:ascii="楷体" w:eastAsia="楷体"/>
          <w:spacing w:val="-5"/>
          <w:sz w:val="30"/>
        </w:rPr>
        <w:t>应对常见精神障碍和心理行为问题，特别是抑郁症、焦虑症的建议，并提出社会和政府应采取的主要举措。</w:t>
      </w:r>
    </w:p>
    <w:p>
      <w:pPr>
        <w:pStyle w:val="2"/>
        <w:tabs>
          <w:tab w:val="left" w:leader="dot" w:pos="8375"/>
        </w:tabs>
        <w:spacing w:before="15"/>
        <w:ind w:left="400"/>
        <w:rPr>
          <w:rFonts w:ascii="Times New Roman" w:eastAsia="Times New Roman"/>
        </w:rPr>
      </w:pPr>
      <w:r>
        <w:t>（六）健康环境促进行动</w:t>
      </w:r>
      <w:r>
        <w:tab/>
      </w:r>
      <w:r>
        <w:rPr>
          <w:rFonts w:ascii="Times New Roman" w:eastAsia="Times New Roman"/>
        </w:rPr>
        <w:t>48</w:t>
      </w:r>
    </w:p>
    <w:p>
      <w:pPr>
        <w:spacing w:before="35" w:line="600" w:lineRule="atLeast"/>
        <w:ind w:left="400" w:right="657" w:firstLine="600"/>
        <w:jc w:val="both"/>
        <w:rPr>
          <w:rFonts w:hint="eastAsia" w:ascii="楷体" w:eastAsia="楷体"/>
          <w:sz w:val="30"/>
        </w:rPr>
      </w:pPr>
      <w:r>
        <w:rPr>
          <w:rFonts w:hint="eastAsia" w:ascii="楷体" w:eastAsia="楷体"/>
          <w:spacing w:val="-7"/>
          <w:sz w:val="30"/>
        </w:rPr>
        <w:t>良好的环境是健康的保障。世界卫生组织研究发现，环境因</w:t>
      </w:r>
      <w:r>
        <w:rPr>
          <w:rFonts w:hint="eastAsia" w:ascii="楷体" w:eastAsia="楷体"/>
          <w:spacing w:val="-8"/>
          <w:sz w:val="30"/>
        </w:rPr>
        <w:t xml:space="preserve">素对健康的影响占到 </w:t>
      </w:r>
      <w:r>
        <w:rPr>
          <w:rFonts w:ascii="Times New Roman" w:eastAsia="Times New Roman"/>
          <w:sz w:val="30"/>
        </w:rPr>
        <w:t>17%</w:t>
      </w:r>
      <w:r>
        <w:rPr>
          <w:rFonts w:hint="eastAsia" w:ascii="楷体" w:eastAsia="楷体"/>
          <w:spacing w:val="-13"/>
          <w:sz w:val="30"/>
        </w:rPr>
        <w:t>。爱国卫生运动是促进健康环境的有效</w:t>
      </w:r>
      <w:r>
        <w:rPr>
          <w:rFonts w:hint="eastAsia" w:ascii="楷体" w:eastAsia="楷体"/>
          <w:spacing w:val="-11"/>
          <w:sz w:val="30"/>
        </w:rPr>
        <w:t>手段。本行动主要针对影响健康的空气、水、土壤等自然环境问题，室内污染等家居环境风险，道路交通伤害等社会环境危险因素，分别给出健康防护和应对建议，并提出政府和社会应采取的</w:t>
      </w:r>
      <w:r>
        <w:rPr>
          <w:rFonts w:hint="eastAsia" w:ascii="楷体" w:eastAsia="楷体"/>
          <w:sz w:val="30"/>
        </w:rPr>
        <w:t>主要举措。</w:t>
      </w:r>
    </w:p>
    <w:p>
      <w:pPr>
        <w:spacing w:after="0" w:line="600" w:lineRule="atLeast"/>
        <w:jc w:val="both"/>
        <w:rPr>
          <w:rFonts w:hint="eastAsia" w:ascii="楷体" w:eastAsia="楷体"/>
          <w:sz w:val="30"/>
        </w:rPr>
        <w:sectPr>
          <w:pgSz w:w="11910" w:h="16840"/>
          <w:pgMar w:top="1560" w:right="1140" w:bottom="1380" w:left="1400" w:header="0" w:footer="1171" w:gutter="0"/>
        </w:sectPr>
      </w:pPr>
    </w:p>
    <w:sdt>
      <w:sdtPr>
        <w:id w:val="0"/>
        <w:docPartObj>
          <w:docPartGallery w:val="Table of Contents"/>
          <w:docPartUnique/>
        </w:docPartObj>
      </w:sdtPr>
      <w:sdtContent>
        <w:p>
          <w:pPr>
            <w:pStyle w:val="5"/>
            <w:tabs>
              <w:tab w:val="right" w:leader="dot" w:pos="8695"/>
            </w:tabs>
            <w:spacing w:before="49"/>
            <w:rPr>
              <w:rFonts w:ascii="Times New Roman" w:eastAsia="Times New Roman"/>
            </w:rPr>
          </w:pPr>
          <w:r>
            <w:fldChar w:fldCharType="begin"/>
          </w:r>
          <w:r>
            <w:instrText xml:space="preserve"> HYPERLINK \l "_TOC_250008" </w:instrText>
          </w:r>
          <w:r>
            <w:fldChar w:fldCharType="separate"/>
          </w:r>
          <w:r>
            <w:t>（七）妇幼健康促进行动</w:t>
          </w:r>
          <w:r>
            <w:tab/>
          </w:r>
          <w:r>
            <w:rPr>
              <w:rFonts w:ascii="Times New Roman" w:eastAsia="Times New Roman"/>
            </w:rPr>
            <w:t>55</w:t>
          </w:r>
          <w:r>
            <w:rPr>
              <w:rFonts w:ascii="Times New Roman" w:eastAsia="Times New Roman"/>
            </w:rPr>
            <w:fldChar w:fldCharType="end"/>
          </w:r>
        </w:p>
        <w:p>
          <w:pPr>
            <w:pStyle w:val="4"/>
            <w:spacing w:line="374" w:lineRule="auto"/>
            <w:ind w:right="655"/>
          </w:pPr>
          <w:r>
            <w:rPr>
              <w:spacing w:val="-8"/>
            </w:rPr>
            <w:t>妇幼健康是全民健康的基础。我国出生缺陷多发，妇女“两</w:t>
          </w:r>
          <w:r>
            <w:rPr>
              <w:spacing w:val="-12"/>
            </w:rPr>
            <w:t>癌”高发，严重影响妇幼的生存和生活质量，影响人口素质和家</w:t>
          </w:r>
          <w:r>
            <w:rPr>
              <w:spacing w:val="-11"/>
            </w:rPr>
            <w:t>庭幸福。本行动主要针对婚前和孕前、孕期、新生儿和儿童早期</w:t>
          </w:r>
          <w:r>
            <w:rPr>
              <w:spacing w:val="-7"/>
            </w:rPr>
            <w:t>各阶段分别给出妇幼健康促进建议，并提出政府和社会应采取的</w:t>
          </w:r>
          <w:r>
            <w:t>主要举措。</w:t>
          </w:r>
        </w:p>
        <w:p>
          <w:pPr>
            <w:pStyle w:val="5"/>
            <w:tabs>
              <w:tab w:val="right" w:leader="dot" w:pos="8695"/>
            </w:tabs>
            <w:spacing w:line="385" w:lineRule="exact"/>
            <w:rPr>
              <w:rFonts w:ascii="Times New Roman" w:eastAsia="Times New Roman"/>
            </w:rPr>
          </w:pPr>
          <w:r>
            <w:fldChar w:fldCharType="begin"/>
          </w:r>
          <w:r>
            <w:instrText xml:space="preserve"> HYPERLINK \l "_TOC_250007" </w:instrText>
          </w:r>
          <w:r>
            <w:fldChar w:fldCharType="separate"/>
          </w:r>
          <w:r>
            <w:t>（八）中小学健康促进行动</w:t>
          </w:r>
          <w:r>
            <w:tab/>
          </w:r>
          <w:r>
            <w:rPr>
              <w:rFonts w:ascii="Times New Roman" w:eastAsia="Times New Roman"/>
            </w:rPr>
            <w:t>61</w:t>
          </w:r>
          <w:r>
            <w:rPr>
              <w:rFonts w:ascii="Times New Roman" w:eastAsia="Times New Roman"/>
            </w:rPr>
            <w:fldChar w:fldCharType="end"/>
          </w:r>
        </w:p>
        <w:p>
          <w:pPr>
            <w:pStyle w:val="4"/>
            <w:spacing w:before="218" w:line="374" w:lineRule="auto"/>
            <w:ind w:right="505"/>
            <w:jc w:val="left"/>
          </w:pPr>
          <w:r>
            <w:rPr>
              <w:spacing w:val="-6"/>
            </w:rPr>
            <w:t>中小学生正处于成长发育的关键阶段。我国各年龄阶段学生</w:t>
          </w:r>
          <w:r>
            <w:rPr>
              <w:spacing w:val="-13"/>
            </w:rPr>
            <w:t>肥胖检出率持续上升，小学生、初中生、高中生视力不良检出率</w:t>
          </w:r>
          <w:r>
            <w:rPr>
              <w:spacing w:val="-31"/>
            </w:rPr>
            <w:t xml:space="preserve">分别为 </w:t>
          </w:r>
          <w:r>
            <w:rPr>
              <w:rFonts w:ascii="Times New Roman" w:eastAsia="Times New Roman"/>
            </w:rPr>
            <w:t>36.0%</w:t>
          </w:r>
          <w:r>
            <w:rPr>
              <w:spacing w:val="-82"/>
            </w:rPr>
            <w:t>、</w:t>
          </w:r>
          <w:r>
            <w:rPr>
              <w:rFonts w:ascii="Times New Roman" w:eastAsia="Times New Roman"/>
            </w:rPr>
            <w:t>71.6%</w:t>
          </w:r>
          <w:r>
            <w:rPr>
              <w:spacing w:val="-80"/>
            </w:rPr>
            <w:t>、</w:t>
          </w:r>
          <w:r>
            <w:rPr>
              <w:rFonts w:ascii="Times New Roman" w:eastAsia="Times New Roman"/>
            </w:rPr>
            <w:t>81.0%</w:t>
          </w:r>
          <w:r>
            <w:rPr>
              <w:spacing w:val="-10"/>
            </w:rPr>
            <w:t>。本行动给出健康行为与生活方式、</w:t>
          </w:r>
          <w:r>
            <w:rPr>
              <w:spacing w:val="-12"/>
            </w:rPr>
            <w:t>疾病预防、心理健康、生长发育与青春期保健等知识与技能，并提出个人、家庭、学校、政府应采取的举措。</w:t>
          </w:r>
        </w:p>
        <w:p>
          <w:pPr>
            <w:pStyle w:val="5"/>
            <w:tabs>
              <w:tab w:val="right" w:leader="dot" w:pos="8695"/>
            </w:tabs>
            <w:spacing w:line="385" w:lineRule="exact"/>
            <w:rPr>
              <w:rFonts w:ascii="Times New Roman" w:eastAsia="Times New Roman"/>
            </w:rPr>
          </w:pPr>
          <w:r>
            <w:fldChar w:fldCharType="begin"/>
          </w:r>
          <w:r>
            <w:instrText xml:space="preserve"> HYPERLINK \l "_TOC_250006" </w:instrText>
          </w:r>
          <w:r>
            <w:fldChar w:fldCharType="separate"/>
          </w:r>
          <w:r>
            <w:t>（九）职业健康保护行动</w:t>
          </w:r>
          <w:r>
            <w:tab/>
          </w:r>
          <w:r>
            <w:rPr>
              <w:rFonts w:ascii="Times New Roman" w:eastAsia="Times New Roman"/>
            </w:rPr>
            <w:t>69</w:t>
          </w:r>
          <w:r>
            <w:rPr>
              <w:rFonts w:ascii="Times New Roman" w:eastAsia="Times New Roman"/>
            </w:rPr>
            <w:fldChar w:fldCharType="end"/>
          </w:r>
        </w:p>
        <w:p>
          <w:pPr>
            <w:pStyle w:val="4"/>
            <w:spacing w:line="374" w:lineRule="auto"/>
          </w:pPr>
          <w:r>
            <w:rPr>
              <w:spacing w:val="-7"/>
            </w:rPr>
            <w:t>劳动者依法享有职业健康保护的权利。我国接触职业病危害</w:t>
          </w:r>
          <w:r>
            <w:rPr>
              <w:spacing w:val="-11"/>
            </w:rPr>
            <w:t xml:space="preserve">因素的人群约 </w:t>
          </w:r>
          <w:r>
            <w:rPr>
              <w:rFonts w:ascii="Times New Roman" w:eastAsia="Times New Roman"/>
            </w:rPr>
            <w:t xml:space="preserve">2 </w:t>
          </w:r>
          <w:r>
            <w:rPr>
              <w:spacing w:val="-12"/>
            </w:rPr>
            <w:t>亿，职业病危害因素已成为影响成年人健康的重</w:t>
          </w:r>
          <w:r>
            <w:rPr>
              <w:spacing w:val="-11"/>
            </w:rPr>
            <w:t>要因素。本行动主要依据《中华人民共和国职业病防治法》和有</w:t>
          </w:r>
          <w:r>
            <w:rPr>
              <w:spacing w:val="-8"/>
            </w:rPr>
            <w:t>关职业病预防控制指南，分别提出劳动者个人、用人单位、政府</w:t>
          </w:r>
          <w:r>
            <w:t>应采取的举措。</w:t>
          </w:r>
        </w:p>
        <w:p>
          <w:pPr>
            <w:pStyle w:val="5"/>
            <w:tabs>
              <w:tab w:val="right" w:leader="dot" w:pos="8695"/>
            </w:tabs>
            <w:spacing w:line="385" w:lineRule="exact"/>
            <w:rPr>
              <w:rFonts w:ascii="Times New Roman" w:eastAsia="Times New Roman"/>
            </w:rPr>
          </w:pPr>
          <w:r>
            <w:fldChar w:fldCharType="begin"/>
          </w:r>
          <w:r>
            <w:instrText xml:space="preserve"> HYPERLINK \l "_TOC_250005" </w:instrText>
          </w:r>
          <w:r>
            <w:fldChar w:fldCharType="separate"/>
          </w:r>
          <w:r>
            <w:t>（十）老年健康促进行动</w:t>
          </w:r>
          <w:r>
            <w:tab/>
          </w:r>
          <w:r>
            <w:rPr>
              <w:rFonts w:ascii="Times New Roman" w:eastAsia="Times New Roman"/>
            </w:rPr>
            <w:t>76</w:t>
          </w:r>
          <w:r>
            <w:rPr>
              <w:rFonts w:ascii="Times New Roman" w:eastAsia="Times New Roman"/>
            </w:rPr>
            <w:fldChar w:fldCharType="end"/>
          </w:r>
        </w:p>
        <w:p>
          <w:pPr>
            <w:pStyle w:val="4"/>
            <w:spacing w:after="240" w:line="374" w:lineRule="auto"/>
            <w:ind w:right="655"/>
          </w:pPr>
          <w:r>
            <w:rPr>
              <w:spacing w:val="4"/>
            </w:rPr>
            <w:t>我国是世界上老年人口最多的国家。</w:t>
          </w:r>
          <w:r>
            <w:rPr>
              <w:rFonts w:ascii="Times New Roman" w:eastAsia="Times New Roman"/>
            </w:rPr>
            <w:t>60</w:t>
          </w:r>
          <w:r>
            <w:rPr>
              <w:rFonts w:ascii="Times New Roman" w:eastAsia="Times New Roman"/>
              <w:spacing w:val="5"/>
            </w:rPr>
            <w:t xml:space="preserve"> </w:t>
          </w:r>
          <w:r>
            <w:rPr>
              <w:spacing w:val="3"/>
            </w:rPr>
            <w:t>岁及以上老年人口</w:t>
          </w:r>
          <w:r>
            <w:rPr>
              <w:spacing w:val="-37"/>
            </w:rPr>
            <w:t xml:space="preserve">达 </w:t>
          </w:r>
          <w:r>
            <w:rPr>
              <w:rFonts w:ascii="Times New Roman" w:eastAsia="Times New Roman"/>
            </w:rPr>
            <w:t>2.49</w:t>
          </w:r>
          <w:r>
            <w:rPr>
              <w:rFonts w:ascii="Times New Roman" w:eastAsia="Times New Roman"/>
              <w:spacing w:val="-2"/>
            </w:rPr>
            <w:t xml:space="preserve"> </w:t>
          </w:r>
          <w:r>
            <w:rPr>
              <w:spacing w:val="-13"/>
            </w:rPr>
            <w:t xml:space="preserve">亿，占总人口的 </w:t>
          </w:r>
          <w:r>
            <w:rPr>
              <w:rFonts w:ascii="Times New Roman" w:eastAsia="Times New Roman"/>
            </w:rPr>
            <w:t>17.9%</w:t>
          </w:r>
          <w:r>
            <w:rPr>
              <w:spacing w:val="-31"/>
            </w:rPr>
            <w:t xml:space="preserve">。近 </w:t>
          </w:r>
          <w:r>
            <w:rPr>
              <w:rFonts w:ascii="Times New Roman" w:eastAsia="Times New Roman"/>
            </w:rPr>
            <w:t>1.8</w:t>
          </w:r>
          <w:r>
            <w:rPr>
              <w:rFonts w:ascii="Times New Roman" w:eastAsia="Times New Roman"/>
              <w:spacing w:val="-2"/>
            </w:rPr>
            <w:t xml:space="preserve"> </w:t>
          </w:r>
          <w:r>
            <w:rPr>
              <w:spacing w:val="-3"/>
            </w:rPr>
            <w:t>亿老年人患有慢性病。本</w:t>
          </w:r>
          <w:r>
            <w:rPr>
              <w:spacing w:val="-7"/>
            </w:rPr>
            <w:t>行动针对老年人膳食营养、体育锻炼、定期体检、慢病管理、精</w:t>
          </w:r>
        </w:p>
        <w:p>
          <w:pPr>
            <w:pStyle w:val="6"/>
            <w:spacing w:line="374" w:lineRule="auto"/>
          </w:pPr>
          <w:r>
            <w:rPr>
              <w:spacing w:val="-6"/>
            </w:rPr>
            <w:t>神健康以及用药安全等方面，给出个人和家庭行动建议，并分别</w:t>
          </w:r>
          <w:r>
            <w:rPr>
              <w:spacing w:val="-18"/>
            </w:rPr>
            <w:t>提出促进老有所医、老有所养、老有所为的社会和政府主要举措。</w:t>
          </w:r>
        </w:p>
        <w:p>
          <w:pPr>
            <w:pStyle w:val="5"/>
            <w:tabs>
              <w:tab w:val="left" w:leader="dot" w:pos="8375"/>
            </w:tabs>
            <w:spacing w:line="388" w:lineRule="exact"/>
            <w:rPr>
              <w:rFonts w:ascii="Times New Roman" w:eastAsia="Times New Roman"/>
            </w:rPr>
          </w:pPr>
          <w:r>
            <w:fldChar w:fldCharType="begin"/>
          </w:r>
          <w:r>
            <w:instrText xml:space="preserve"> HYPERLINK \l "_TOC_250004" </w:instrText>
          </w:r>
          <w:r>
            <w:fldChar w:fldCharType="separate"/>
          </w:r>
          <w:r>
            <w:t>（十一）心脑血管疾病防治行动</w:t>
          </w:r>
          <w:r>
            <w:tab/>
          </w:r>
          <w:r>
            <w:rPr>
              <w:rFonts w:ascii="Times New Roman" w:eastAsia="Times New Roman"/>
            </w:rPr>
            <w:t>82</w:t>
          </w:r>
          <w:r>
            <w:rPr>
              <w:rFonts w:ascii="Times New Roman" w:eastAsia="Times New Roman"/>
            </w:rPr>
            <w:fldChar w:fldCharType="end"/>
          </w:r>
        </w:p>
        <w:p>
          <w:pPr>
            <w:pStyle w:val="4"/>
            <w:spacing w:before="220" w:line="374" w:lineRule="auto"/>
            <w:ind w:right="506"/>
            <w:jc w:val="left"/>
          </w:pPr>
          <w:r>
            <w:rPr>
              <w:spacing w:val="-5"/>
            </w:rPr>
            <w:t>心脑血管疾病是我国居民第一位死亡原因。全国现有高血压</w:t>
          </w:r>
          <w:r>
            <w:rPr>
              <w:spacing w:val="-29"/>
            </w:rPr>
            <w:t xml:space="preserve">患者 </w:t>
          </w:r>
          <w:r>
            <w:rPr>
              <w:rFonts w:ascii="Times New Roman" w:eastAsia="Times New Roman"/>
            </w:rPr>
            <w:t xml:space="preserve">2.7 </w:t>
          </w:r>
          <w:r>
            <w:rPr>
              <w:spacing w:val="-18"/>
            </w:rPr>
            <w:t xml:space="preserve">亿、脑卒中患者 </w:t>
          </w:r>
          <w:r>
            <w:rPr>
              <w:rFonts w:ascii="Times New Roman" w:eastAsia="Times New Roman"/>
            </w:rPr>
            <w:t xml:space="preserve">1300 </w:t>
          </w:r>
          <w:r>
            <w:rPr>
              <w:spacing w:val="-18"/>
            </w:rPr>
            <w:t xml:space="preserve">万、冠心病患者 </w:t>
          </w:r>
          <w:r>
            <w:rPr>
              <w:rFonts w:ascii="Times New Roman" w:eastAsia="Times New Roman"/>
            </w:rPr>
            <w:t xml:space="preserve">1100 </w:t>
          </w:r>
          <w:r>
            <w:rPr>
              <w:spacing w:val="-12"/>
            </w:rPr>
            <w:t>万。高血压、</w:t>
          </w:r>
          <w:r>
            <w:rPr>
              <w:spacing w:val="-10"/>
            </w:rPr>
            <w:t>血脂异常、糖尿病以及肥胖、吸烟、缺乏体力活动、不健康饮食</w:t>
          </w:r>
          <w:r>
            <w:rPr>
              <w:spacing w:val="-14"/>
            </w:rPr>
            <w:t>习惯等是心脑血管疾病主要的且可以改变的危险因素。本行动主</w:t>
          </w:r>
          <w:r>
            <w:rPr>
              <w:spacing w:val="-15"/>
            </w:rPr>
            <w:t>要针对一般成年人、心脑血管疾病高危人群和患者，给出血压监</w:t>
          </w:r>
          <w:r>
            <w:rPr>
              <w:spacing w:val="-11"/>
            </w:rPr>
            <w:t>测、血脂检测、自我健康管理、膳食、运动的建议，提出急性心</w:t>
          </w:r>
          <w:r>
            <w:rPr>
              <w:spacing w:val="-13"/>
            </w:rPr>
            <w:t>肌梗死、脑卒中发病的自救措施，并提出社会和政府应采取的主要举措。</w:t>
          </w:r>
        </w:p>
        <w:p>
          <w:pPr>
            <w:pStyle w:val="5"/>
            <w:tabs>
              <w:tab w:val="left" w:leader="dot" w:pos="8375"/>
            </w:tabs>
            <w:spacing w:before="14"/>
            <w:rPr>
              <w:rFonts w:ascii="Times New Roman" w:eastAsia="Times New Roman"/>
            </w:rPr>
          </w:pPr>
          <w:r>
            <w:fldChar w:fldCharType="begin"/>
          </w:r>
          <w:r>
            <w:instrText xml:space="preserve"> HYPERLINK \l "_TOC_250003" </w:instrText>
          </w:r>
          <w:r>
            <w:fldChar w:fldCharType="separate"/>
          </w:r>
          <w:r>
            <w:t>（十二）癌症防治行动</w:t>
          </w:r>
          <w:r>
            <w:tab/>
          </w:r>
          <w:r>
            <w:rPr>
              <w:rFonts w:ascii="Times New Roman" w:eastAsia="Times New Roman"/>
            </w:rPr>
            <w:t>87</w:t>
          </w:r>
          <w:r>
            <w:rPr>
              <w:rFonts w:ascii="Times New Roman" w:eastAsia="Times New Roman"/>
            </w:rPr>
            <w:fldChar w:fldCharType="end"/>
          </w:r>
        </w:p>
        <w:p>
          <w:pPr>
            <w:pStyle w:val="4"/>
            <w:spacing w:line="374" w:lineRule="auto"/>
          </w:pPr>
          <w:r>
            <w:rPr>
              <w:spacing w:val="6"/>
            </w:rPr>
            <w:t>癌症严重影响人民健康。目前，我国每年新发癌症病例约</w:t>
          </w:r>
          <w:r>
            <w:rPr>
              <w:rFonts w:ascii="Times New Roman" w:eastAsia="Times New Roman"/>
              <w:spacing w:val="6"/>
            </w:rPr>
            <w:t xml:space="preserve">380 </w:t>
          </w:r>
          <w:r>
            <w:rPr>
              <w:spacing w:val="-16"/>
            </w:rPr>
            <w:t xml:space="preserve">万，死亡约 </w:t>
          </w:r>
          <w:r>
            <w:rPr>
              <w:rFonts w:ascii="Times New Roman" w:eastAsia="Times New Roman"/>
            </w:rPr>
            <w:t xml:space="preserve">229 </w:t>
          </w:r>
          <w:r>
            <w:rPr>
              <w:spacing w:val="-4"/>
            </w:rPr>
            <w:t>万，发病率及死亡率呈逐年上升趋势，已成</w:t>
          </w:r>
          <w:r>
            <w:rPr>
              <w:spacing w:val="-9"/>
            </w:rPr>
            <w:t>为城市死因的第一位、农村死因的第二位。本行动主要针对癌症</w:t>
          </w:r>
          <w:r>
            <w:rPr>
              <w:spacing w:val="-11"/>
            </w:rPr>
            <w:t>预防、早期筛查及早诊早治、规范化治疗、康复和膳食指导等方</w:t>
          </w:r>
          <w:r>
            <w:t>面，给出有关建议，并提出社会和政府应采取的主要举措。</w:t>
          </w:r>
        </w:p>
        <w:p>
          <w:pPr>
            <w:pStyle w:val="5"/>
            <w:tabs>
              <w:tab w:val="left" w:leader="dot" w:pos="8375"/>
            </w:tabs>
            <w:spacing w:before="16"/>
            <w:jc w:val="both"/>
            <w:rPr>
              <w:rFonts w:ascii="Times New Roman" w:eastAsia="Times New Roman"/>
            </w:rPr>
          </w:pPr>
          <w:r>
            <w:fldChar w:fldCharType="begin"/>
          </w:r>
          <w:r>
            <w:instrText xml:space="preserve"> HYPERLINK \l "_TOC_250002" </w:instrText>
          </w:r>
          <w:r>
            <w:fldChar w:fldCharType="separate"/>
          </w:r>
          <w:r>
            <w:t>（十三）慢性呼吸系统疾病防治行动</w:t>
          </w:r>
          <w:r>
            <w:tab/>
          </w:r>
          <w:r>
            <w:rPr>
              <w:rFonts w:ascii="Times New Roman" w:eastAsia="Times New Roman"/>
            </w:rPr>
            <w:t>92</w:t>
          </w:r>
          <w:r>
            <w:rPr>
              <w:rFonts w:ascii="Times New Roman" w:eastAsia="Times New Roman"/>
            </w:rPr>
            <w:fldChar w:fldCharType="end"/>
          </w:r>
        </w:p>
        <w:p>
          <w:pPr>
            <w:pStyle w:val="4"/>
            <w:spacing w:before="1" w:after="20" w:line="600" w:lineRule="atLeast"/>
            <w:ind w:right="506"/>
            <w:jc w:val="left"/>
          </w:pPr>
          <w:r>
            <w:rPr>
              <w:spacing w:val="-6"/>
            </w:rPr>
            <w:t>慢性呼吸系统疾病以哮喘、慢性阻塞性肺疾病等为代表，患</w:t>
          </w:r>
          <w:r>
            <w:rPr>
              <w:spacing w:val="-10"/>
            </w:rPr>
            <w:t xml:space="preserve">病率高，严重影响健康水平。我国 </w:t>
          </w:r>
          <w:r>
            <w:rPr>
              <w:rFonts w:ascii="Times New Roman" w:eastAsia="Times New Roman"/>
            </w:rPr>
            <w:t>40</w:t>
          </w:r>
          <w:r>
            <w:rPr>
              <w:rFonts w:ascii="Times New Roman" w:eastAsia="Times New Roman"/>
              <w:spacing w:val="11"/>
            </w:rPr>
            <w:t xml:space="preserve"> </w:t>
          </w:r>
          <w:r>
            <w:t>岁及以上人群慢性阻塞性</w:t>
          </w:r>
          <w:r>
            <w:rPr>
              <w:spacing w:val="-10"/>
            </w:rPr>
            <w:t xml:space="preserve">肺疾病患病率为 </w:t>
          </w:r>
          <w:r>
            <w:rPr>
              <w:rFonts w:ascii="Times New Roman" w:eastAsia="Times New Roman"/>
              <w:spacing w:val="-4"/>
            </w:rPr>
            <w:t>13.6%</w:t>
          </w:r>
          <w:r>
            <w:rPr>
              <w:spacing w:val="-12"/>
            </w:rPr>
            <w:t xml:space="preserve">，总患病人数近 </w:t>
          </w:r>
          <w:r>
            <w:rPr>
              <w:rFonts w:ascii="Times New Roman" w:eastAsia="Times New Roman"/>
            </w:rPr>
            <w:t xml:space="preserve">1 </w:t>
          </w:r>
          <w:r>
            <w:rPr>
              <w:spacing w:val="-5"/>
            </w:rPr>
            <w:t>亿。本行动主要针对慢</w:t>
          </w:r>
          <w:r>
            <w:rPr>
              <w:spacing w:val="-19"/>
            </w:rPr>
            <w:t xml:space="preserve">阻肺、哮喘的主要预防措施和膳食、运动等方面，给出指导建议， </w:t>
          </w:r>
          <w:r>
            <w:t>并提出社会和政府应采取的主要举措。</w:t>
          </w:r>
        </w:p>
        <w:p>
          <w:pPr>
            <w:pStyle w:val="5"/>
            <w:tabs>
              <w:tab w:val="right" w:leader="dot" w:pos="8695"/>
            </w:tabs>
            <w:spacing w:before="54"/>
            <w:rPr>
              <w:rFonts w:ascii="Times New Roman" w:eastAsia="Times New Roman"/>
            </w:rPr>
          </w:pPr>
          <w:r>
            <w:fldChar w:fldCharType="begin"/>
          </w:r>
          <w:r>
            <w:instrText xml:space="preserve"> HYPERLINK \l "_TOC_250001" </w:instrText>
          </w:r>
          <w:r>
            <w:fldChar w:fldCharType="separate"/>
          </w:r>
          <w:r>
            <w:t>（十四）糖尿病防治行动</w:t>
          </w:r>
          <w:r>
            <w:tab/>
          </w:r>
          <w:r>
            <w:rPr>
              <w:rFonts w:ascii="Times New Roman" w:eastAsia="Times New Roman"/>
            </w:rPr>
            <w:t>94</w:t>
          </w:r>
          <w:r>
            <w:rPr>
              <w:rFonts w:ascii="Times New Roman" w:eastAsia="Times New Roman"/>
            </w:rPr>
            <w:fldChar w:fldCharType="end"/>
          </w:r>
        </w:p>
        <w:p>
          <w:pPr>
            <w:pStyle w:val="4"/>
            <w:spacing w:before="220" w:line="374" w:lineRule="auto"/>
          </w:pPr>
          <w:r>
            <w:rPr>
              <w:spacing w:val="-6"/>
            </w:rPr>
            <w:t>我国是全球糖尿病患病率增长最快的国家之一，目前糖尿病</w:t>
          </w:r>
          <w:r>
            <w:rPr>
              <w:spacing w:val="-12"/>
            </w:rPr>
            <w:t xml:space="preserve">患者超过 </w:t>
          </w:r>
          <w:r>
            <w:rPr>
              <w:rFonts w:ascii="Times New Roman" w:eastAsia="Times New Roman"/>
            </w:rPr>
            <w:t xml:space="preserve">9700 </w:t>
          </w:r>
          <w:r>
            <w:rPr>
              <w:spacing w:val="-4"/>
            </w:rPr>
            <w:t xml:space="preserve">万，糖尿病前期人群约 </w:t>
          </w:r>
          <w:r>
            <w:rPr>
              <w:rFonts w:ascii="Times New Roman" w:eastAsia="Times New Roman"/>
            </w:rPr>
            <w:t xml:space="preserve">1.5 </w:t>
          </w:r>
          <w:r>
            <w:rPr>
              <w:spacing w:val="3"/>
            </w:rPr>
            <w:t>亿。本行动主要针对</w:t>
          </w:r>
          <w:r>
            <w:rPr>
              <w:spacing w:val="-5"/>
            </w:rPr>
            <w:t>糖尿病前期人群和糖尿病患者，给出识别标准、膳食和运动等生</w:t>
          </w:r>
          <w:r>
            <w:rPr>
              <w:spacing w:val="-8"/>
            </w:rPr>
            <w:t>活方式指导建议以及防治措施，并提出社会和政府应采取的主要</w:t>
          </w:r>
          <w:r>
            <w:t>举措。</w:t>
          </w:r>
        </w:p>
        <w:p>
          <w:pPr>
            <w:pStyle w:val="5"/>
            <w:tabs>
              <w:tab w:val="right" w:leader="dot" w:pos="8695"/>
            </w:tabs>
            <w:spacing w:before="13"/>
            <w:jc w:val="both"/>
            <w:rPr>
              <w:rFonts w:ascii="Times New Roman" w:eastAsia="Times New Roman"/>
            </w:rPr>
          </w:pPr>
          <w:r>
            <w:fldChar w:fldCharType="begin"/>
          </w:r>
          <w:r>
            <w:instrText xml:space="preserve"> HYPERLINK \l "_TOC_250000" </w:instrText>
          </w:r>
          <w:r>
            <w:fldChar w:fldCharType="separate"/>
          </w:r>
          <w:r>
            <w:t>（十五）传染病及地方病防控行动</w:t>
          </w:r>
          <w:r>
            <w:tab/>
          </w:r>
          <w:r>
            <w:rPr>
              <w:rFonts w:ascii="Times New Roman" w:eastAsia="Times New Roman"/>
            </w:rPr>
            <w:t>97</w:t>
          </w:r>
          <w:r>
            <w:rPr>
              <w:rFonts w:ascii="Times New Roman" w:eastAsia="Times New Roman"/>
            </w:rPr>
            <w:fldChar w:fldCharType="end"/>
          </w:r>
        </w:p>
        <w:p>
          <w:pPr>
            <w:pStyle w:val="4"/>
            <w:ind w:left="1000" w:right="0" w:firstLine="0"/>
            <w:jc w:val="left"/>
          </w:pPr>
          <w:r>
            <w:rPr>
              <w:spacing w:val="-3"/>
            </w:rPr>
            <w:t xml:space="preserve">传染病、地方病严重威胁人民健康。我国现有约 </w:t>
          </w:r>
          <w:r>
            <w:rPr>
              <w:rFonts w:ascii="Times New Roman" w:eastAsia="Times New Roman"/>
            </w:rPr>
            <w:t>2800</w:t>
          </w:r>
          <w:r>
            <w:rPr>
              <w:rFonts w:ascii="Times New Roman" w:eastAsia="Times New Roman"/>
              <w:spacing w:val="25"/>
            </w:rPr>
            <w:t xml:space="preserve"> </w:t>
          </w:r>
          <w:r>
            <w:t>万慢</w:t>
          </w:r>
        </w:p>
        <w:p>
          <w:pPr>
            <w:pStyle w:val="6"/>
            <w:spacing w:before="215" w:line="374" w:lineRule="auto"/>
            <w:ind w:right="565"/>
          </w:pPr>
          <w:r>
            <w:t xml:space="preserve">性乙肝患者，每年约 </w:t>
          </w:r>
          <w:r>
            <w:rPr>
              <w:rFonts w:ascii="Times New Roman" w:eastAsia="Times New Roman"/>
            </w:rPr>
            <w:t xml:space="preserve">90 </w:t>
          </w:r>
          <w:r>
            <w:t>万例新发结核病患者，且地方病、部分寄生虫病防治形势依然严峻。本行动针对艾滋病、病毒性肝炎、结核病、流感、寄生虫病、地方病，分别提出了个人、社会和政府应采取的主要举措。</w:t>
          </w:r>
        </w:p>
        <w:p>
          <w:pPr>
            <w:pStyle w:val="5"/>
            <w:tabs>
              <w:tab w:val="right" w:leader="dot" w:pos="8695"/>
            </w:tabs>
            <w:spacing w:before="16"/>
            <w:rPr>
              <w:rFonts w:ascii="Times New Roman" w:eastAsia="Times New Roman"/>
            </w:rPr>
          </w:pPr>
          <w:r>
            <w:rPr>
              <w:rFonts w:hint="eastAsia" w:ascii="黑体" w:eastAsia="黑体"/>
            </w:rPr>
            <w:t>四、保障措施</w:t>
          </w:r>
          <w:r>
            <w:rPr>
              <w:rFonts w:hint="eastAsia" w:ascii="黑体" w:eastAsia="黑体"/>
            </w:rPr>
            <w:tab/>
          </w:r>
          <w:r>
            <w:rPr>
              <w:rFonts w:ascii="Times New Roman" w:eastAsia="Times New Roman"/>
            </w:rPr>
            <w:t>104</w:t>
          </w:r>
        </w:p>
        <w:p>
          <w:pPr>
            <w:pStyle w:val="5"/>
            <w:tabs>
              <w:tab w:val="right" w:leader="dot" w:pos="8695"/>
            </w:tabs>
            <w:spacing w:before="228"/>
            <w:rPr>
              <w:rFonts w:ascii="Times New Roman" w:eastAsia="Times New Roman"/>
            </w:rPr>
          </w:pPr>
          <w:r>
            <w:t>（一）加强组织领导</w:t>
          </w:r>
          <w:r>
            <w:tab/>
          </w:r>
          <w:r>
            <w:rPr>
              <w:rFonts w:ascii="Times New Roman" w:eastAsia="Times New Roman"/>
            </w:rPr>
            <w:t>104</w:t>
          </w:r>
        </w:p>
        <w:p>
          <w:pPr>
            <w:pStyle w:val="5"/>
            <w:tabs>
              <w:tab w:val="right" w:leader="dot" w:pos="8695"/>
            </w:tabs>
            <w:spacing w:before="231"/>
            <w:rPr>
              <w:rFonts w:ascii="Times New Roman" w:eastAsia="Times New Roman"/>
            </w:rPr>
          </w:pPr>
          <w:r>
            <w:t>（二）开展监测评估</w:t>
          </w:r>
          <w:r>
            <w:tab/>
          </w:r>
          <w:r>
            <w:rPr>
              <w:rFonts w:ascii="Times New Roman" w:eastAsia="Times New Roman"/>
            </w:rPr>
            <w:t>104</w:t>
          </w:r>
        </w:p>
        <w:p>
          <w:pPr>
            <w:pStyle w:val="5"/>
            <w:tabs>
              <w:tab w:val="right" w:leader="dot" w:pos="8695"/>
            </w:tabs>
            <w:spacing w:before="231"/>
            <w:rPr>
              <w:rFonts w:ascii="Times New Roman" w:eastAsia="Times New Roman"/>
            </w:rPr>
          </w:pPr>
          <w:r>
            <w:t>（三）建立绩效考核评价机制</w:t>
          </w:r>
          <w:r>
            <w:tab/>
          </w:r>
          <w:r>
            <w:rPr>
              <w:rFonts w:ascii="Times New Roman" w:eastAsia="Times New Roman"/>
            </w:rPr>
            <w:t>105</w:t>
          </w:r>
        </w:p>
        <w:p>
          <w:pPr>
            <w:pStyle w:val="5"/>
            <w:tabs>
              <w:tab w:val="right" w:leader="dot" w:pos="8695"/>
            </w:tabs>
            <w:spacing w:before="228"/>
            <w:rPr>
              <w:rFonts w:ascii="Times New Roman" w:eastAsia="Times New Roman"/>
            </w:rPr>
          </w:pPr>
          <w:r>
            <w:t>（四）健全支撑体系</w:t>
          </w:r>
          <w:r>
            <w:tab/>
          </w:r>
          <w:r>
            <w:rPr>
              <w:rFonts w:ascii="Times New Roman" w:eastAsia="Times New Roman"/>
            </w:rPr>
            <w:t>106</w:t>
          </w:r>
        </w:p>
        <w:p>
          <w:pPr>
            <w:pStyle w:val="5"/>
            <w:tabs>
              <w:tab w:val="right" w:leader="dot" w:pos="8695"/>
            </w:tabs>
            <w:spacing w:before="231"/>
            <w:rPr>
              <w:rFonts w:ascii="Times New Roman" w:eastAsia="Times New Roman"/>
            </w:rPr>
          </w:pPr>
          <w:r>
            <w:t>（五）加强宣传引导</w:t>
          </w:r>
          <w:r>
            <w:tab/>
          </w:r>
          <w:r>
            <w:rPr>
              <w:rFonts w:ascii="Times New Roman" w:eastAsia="Times New Roman"/>
            </w:rPr>
            <w:t>106</w:t>
          </w:r>
        </w:p>
      </w:sdtContent>
    </w:sdt>
    <w:p>
      <w:pPr>
        <w:spacing w:after="0"/>
        <w:rPr>
          <w:rFonts w:ascii="Times New Roman" w:eastAsia="Times New Roman"/>
        </w:rPr>
        <w:sectPr>
          <w:pgSz w:w="11910" w:h="16840"/>
          <w:pgMar w:top="1580" w:right="1140" w:bottom="1492" w:left="1400" w:header="0" w:footer="1171" w:gutter="0"/>
        </w:sectPr>
      </w:pPr>
    </w:p>
    <w:p>
      <w:pPr>
        <w:pStyle w:val="3"/>
        <w:ind w:left="1040" w:right="0" w:firstLine="0"/>
        <w:rPr>
          <w:rFonts w:hint="eastAsia" w:ascii="黑体" w:eastAsia="黑体"/>
        </w:rPr>
      </w:pPr>
      <w:bookmarkStart w:id="5" w:name="引言"/>
      <w:bookmarkEnd w:id="5"/>
      <w:r>
        <w:rPr>
          <w:rFonts w:hint="eastAsia" w:ascii="黑体" w:eastAsia="黑体"/>
        </w:rPr>
        <w:t>引言</w:t>
      </w:r>
    </w:p>
    <w:p>
      <w:pPr>
        <w:pStyle w:val="3"/>
        <w:spacing w:before="190" w:line="350" w:lineRule="auto"/>
        <w:ind w:left="400" w:right="499" w:firstLine="640"/>
      </w:pPr>
      <w:r>
        <w:rPr>
          <w:spacing w:val="-1"/>
        </w:rPr>
        <w:t>人民健康是民族昌盛和国家富强的重要标志。党的十八</w:t>
      </w:r>
      <w:r>
        <w:rPr>
          <w:spacing w:val="-4"/>
        </w:rPr>
        <w:t>大以来，我国卫生健康事业取得新的显著成绩，医疗卫生服</w:t>
      </w:r>
      <w:r>
        <w:rPr>
          <w:spacing w:val="-5"/>
        </w:rPr>
        <w:t>务水平大幅提高，居民主要健康指标总体优于中高收入国家平均水平。随着工业化、城镇化、人口老龄化发展及生态环</w:t>
      </w:r>
      <w:r>
        <w:rPr>
          <w:spacing w:val="-3"/>
        </w:rPr>
        <w:t>境、生活行为方式变化，慢性非传染性疾病</w:t>
      </w:r>
      <w:r>
        <w:t>（以下简称慢性</w:t>
      </w:r>
      <w:r>
        <w:rPr>
          <w:w w:val="95"/>
        </w:rPr>
        <w:t>病</w:t>
      </w:r>
      <w:r>
        <w:rPr>
          <w:spacing w:val="-87"/>
          <w:w w:val="95"/>
        </w:rPr>
        <w:t>）</w:t>
      </w:r>
      <w:r>
        <w:rPr>
          <w:spacing w:val="-5"/>
          <w:w w:val="95"/>
        </w:rPr>
        <w:t xml:space="preserve">已成为居民的主要死亡原因和疾病负担。心脑血管疾病、 </w:t>
      </w:r>
      <w:r>
        <w:rPr>
          <w:spacing w:val="-5"/>
        </w:rPr>
        <w:t>癌症、慢性呼吸系统疾病、糖尿病等慢性病导致的负担占总</w:t>
      </w:r>
      <w:r>
        <w:rPr>
          <w:spacing w:val="-18"/>
        </w:rPr>
        <w:t xml:space="preserve">疾病负担的 </w:t>
      </w:r>
      <w:r>
        <w:rPr>
          <w:rFonts w:ascii="Times New Roman" w:eastAsia="Times New Roman"/>
        </w:rPr>
        <w:t>70%</w:t>
      </w:r>
      <w:r>
        <w:rPr>
          <w:spacing w:val="-7"/>
        </w:rPr>
        <w:t>以上，成为制约健康预期寿命提高的重要因</w:t>
      </w:r>
      <w:r>
        <w:rPr>
          <w:spacing w:val="-3"/>
        </w:rPr>
        <w:t>素。同时，肝炎、结核病、艾滋病等重大传染病防控形势仍</w:t>
      </w:r>
      <w:r>
        <w:rPr>
          <w:spacing w:val="-4"/>
        </w:rPr>
        <w:t>然严峻，精神卫生、职业健康、地方病等问题不容忽视，重</w:t>
      </w:r>
      <w:r>
        <w:rPr>
          <w:spacing w:val="-5"/>
        </w:rPr>
        <w:t>大安全生产事故和交通事故时有发生。党的十九大作出了实</w:t>
      </w:r>
      <w:r>
        <w:rPr>
          <w:spacing w:val="-6"/>
        </w:rPr>
        <w:t>施健康中国战略的重大决策部署，充分体现了对维护人民健</w:t>
      </w:r>
      <w:r>
        <w:rPr>
          <w:spacing w:val="-7"/>
        </w:rPr>
        <w:t>康的坚定决心。为积极应对当前突出健康问题，必须关口前</w:t>
      </w:r>
      <w:r>
        <w:rPr>
          <w:spacing w:val="-3"/>
        </w:rPr>
        <w:t>移，采取有效干预措施，努力使群众不生病、少生病，提高</w:t>
      </w:r>
      <w:r>
        <w:rPr>
          <w:spacing w:val="-5"/>
        </w:rPr>
        <w:t>生活质量，延长健康寿命。这是以较低成本取得较高健康绩</w:t>
      </w:r>
      <w:r>
        <w:rPr>
          <w:spacing w:val="-7"/>
        </w:rPr>
        <w:t>效的有效策略，是解决当前健康问题的现实途径，是落实健</w:t>
      </w:r>
      <w:r>
        <w:rPr>
          <w:spacing w:val="24"/>
        </w:rPr>
        <w:t>康中国战略的重要举措。为此，特制定《健康中国行动</w:t>
      </w:r>
    </w:p>
    <w:p>
      <w:pPr>
        <w:pStyle w:val="3"/>
        <w:spacing w:before="23"/>
        <w:ind w:left="400" w:right="0" w:firstLine="0"/>
      </w:pPr>
      <w:r>
        <w:t>（</w:t>
      </w:r>
      <w:r>
        <w:rPr>
          <w:rFonts w:ascii="Times New Roman" w:hAnsi="Times New Roman" w:eastAsia="Times New Roman"/>
        </w:rPr>
        <w:t xml:space="preserve">2019—2030 </w:t>
      </w:r>
      <w:r>
        <w:t>年）》（以下简称《健康中国行动》）。</w:t>
      </w:r>
    </w:p>
    <w:p>
      <w:pPr>
        <w:spacing w:after="0"/>
        <w:sectPr>
          <w:pgSz w:w="11910" w:h="16840"/>
          <w:pgMar w:top="1540" w:right="1140" w:bottom="1360" w:left="1400" w:header="0" w:footer="1171" w:gutter="0"/>
        </w:sectPr>
      </w:pPr>
    </w:p>
    <w:p>
      <w:pPr>
        <w:pStyle w:val="3"/>
        <w:ind w:left="1040" w:right="0" w:firstLine="0"/>
        <w:rPr>
          <w:rFonts w:hint="eastAsia" w:ascii="黑体" w:eastAsia="黑体"/>
        </w:rPr>
      </w:pPr>
      <w:bookmarkStart w:id="6" w:name="一、总体要求"/>
      <w:bookmarkEnd w:id="6"/>
      <w:r>
        <w:rPr>
          <w:rFonts w:hint="eastAsia" w:ascii="黑体" w:eastAsia="黑体"/>
        </w:rPr>
        <w:t>一、总体要求</w:t>
      </w:r>
    </w:p>
    <w:p>
      <w:pPr>
        <w:pStyle w:val="2"/>
        <w:spacing w:before="190"/>
        <w:ind w:left="1040"/>
      </w:pPr>
      <w:bookmarkStart w:id="7" w:name="（一）指导思想。"/>
      <w:bookmarkEnd w:id="7"/>
      <w:r>
        <w:t>（一）指导思想。</w:t>
      </w:r>
    </w:p>
    <w:p>
      <w:pPr>
        <w:pStyle w:val="3"/>
        <w:spacing w:before="190" w:line="350" w:lineRule="auto"/>
        <w:ind w:left="400" w:right="657" w:firstLine="640"/>
        <w:jc w:val="both"/>
      </w:pPr>
      <w:bookmarkStart w:id="8" w:name="以习近平新时代中国特色社会主义思想为指导，全面贯彻党的十九大和十九届二中、三中全"/>
      <w:bookmarkEnd w:id="8"/>
      <w:r>
        <w:rPr>
          <w:spacing w:val="-1"/>
        </w:rPr>
        <w:t>以习近平新时代中国特色社会主义思想为指导，全面贯</w:t>
      </w:r>
      <w:r>
        <w:rPr>
          <w:spacing w:val="-3"/>
        </w:rPr>
        <w:t>彻党的十九大和十九届二中、三中全会精神，认真落实党中</w:t>
      </w:r>
      <w:r>
        <w:rPr>
          <w:spacing w:val="-4"/>
          <w:w w:val="95"/>
        </w:rPr>
        <w:t xml:space="preserve">央、国务院决策部署，坚持以人民为中心的发展思想，牢固 </w:t>
      </w:r>
      <w:r>
        <w:rPr>
          <w:spacing w:val="-4"/>
        </w:rPr>
        <w:t>树立</w:t>
      </w:r>
      <w:r>
        <w:rPr>
          <w:rFonts w:ascii="Times New Roman" w:hAnsi="Times New Roman" w:eastAsia="Times New Roman"/>
          <w:spacing w:val="-4"/>
        </w:rPr>
        <w:t>“</w:t>
      </w:r>
      <w:r>
        <w:rPr>
          <w:spacing w:val="-4"/>
        </w:rPr>
        <w:t>大卫生、大健康</w:t>
      </w:r>
      <w:r>
        <w:rPr>
          <w:rFonts w:ascii="Times New Roman" w:hAnsi="Times New Roman" w:eastAsia="Times New Roman"/>
          <w:spacing w:val="-4"/>
        </w:rPr>
        <w:t>”</w:t>
      </w:r>
      <w:r>
        <w:rPr>
          <w:spacing w:val="-4"/>
        </w:rPr>
        <w:t>理念，坚持预防为主、防治结合的原</w:t>
      </w:r>
      <w:r>
        <w:rPr>
          <w:spacing w:val="-3"/>
          <w:w w:val="95"/>
        </w:rPr>
        <w:t xml:space="preserve">则，以基层为重点，以改革创新为动力，中西医并重，把健 </w:t>
      </w:r>
      <w:r>
        <w:rPr>
          <w:spacing w:val="-5"/>
          <w:w w:val="95"/>
        </w:rPr>
        <w:t xml:space="preserve">康融入所有政策，针对重大疾病和一些突出问题，聚焦重点 </w:t>
      </w:r>
      <w:r>
        <w:rPr>
          <w:spacing w:val="-4"/>
          <w:w w:val="95"/>
        </w:rPr>
        <w:t xml:space="preserve">人群，实施一批重大行动，政府、社会、个人协同推进，建 </w:t>
      </w:r>
      <w:r>
        <w:rPr>
          <w:spacing w:val="-6"/>
        </w:rPr>
        <w:t>立健全健康教育体系，引导群众建立正确健康观，形成有利</w:t>
      </w:r>
      <w:r>
        <w:rPr>
          <w:spacing w:val="-7"/>
        </w:rPr>
        <w:t>于健康的生活方式、生态环境和社会环境，促进以治病为中心向以健康为中心转变，提高人民健康水平。</w:t>
      </w:r>
    </w:p>
    <w:p>
      <w:pPr>
        <w:pStyle w:val="2"/>
        <w:spacing w:before="14"/>
        <w:ind w:left="1040"/>
      </w:pPr>
      <w:bookmarkStart w:id="9" w:name="（二）基本路径。"/>
      <w:bookmarkEnd w:id="9"/>
      <w:r>
        <w:rPr>
          <w:w w:val="95"/>
        </w:rPr>
        <w:t>（二）基本路径。</w:t>
      </w:r>
    </w:p>
    <w:p>
      <w:pPr>
        <w:pStyle w:val="3"/>
        <w:spacing w:before="190" w:line="350" w:lineRule="auto"/>
        <w:ind w:left="400" w:right="341" w:firstLine="640"/>
      </w:pPr>
      <w:r>
        <w:rPr>
          <w:rFonts w:ascii="Times New Roman" w:hAnsi="Times New Roman" w:eastAsia="Times New Roman"/>
        </w:rPr>
        <w:t>——</w:t>
      </w:r>
      <w:r>
        <w:rPr>
          <w:b/>
          <w:spacing w:val="-4"/>
        </w:rPr>
        <w:t>普及健康知识。</w:t>
      </w:r>
      <w:r>
        <w:t xml:space="preserve">把提升健康素养作为增进全民健康 </w:t>
      </w:r>
      <w:r>
        <w:rPr>
          <w:spacing w:val="-4"/>
          <w:w w:val="95"/>
        </w:rPr>
        <w:t xml:space="preserve">的前提，根据不同人群特点有针对性地加强健康教育与促进， </w:t>
      </w:r>
      <w:r>
        <w:rPr>
          <w:spacing w:val="-4"/>
        </w:rPr>
        <w:t>让健康知识、行为和技能成为全民普遍具备的素质和能力， 实现健康素养人人有。</w:t>
      </w:r>
    </w:p>
    <w:p>
      <w:pPr>
        <w:pStyle w:val="3"/>
        <w:spacing w:before="5" w:line="350" w:lineRule="auto"/>
        <w:ind w:left="400" w:right="657" w:firstLine="640"/>
        <w:jc w:val="both"/>
      </w:pPr>
      <w:r>
        <w:rPr>
          <w:rFonts w:ascii="Times New Roman" w:hAnsi="Times New Roman" w:eastAsia="Times New Roman"/>
          <w:w w:val="95"/>
        </w:rPr>
        <w:t>——</w:t>
      </w:r>
      <w:r>
        <w:rPr>
          <w:b/>
          <w:spacing w:val="-4"/>
          <w:w w:val="95"/>
        </w:rPr>
        <w:t>参与健康行动。</w:t>
      </w:r>
      <w:r>
        <w:rPr>
          <w:w w:val="95"/>
        </w:rPr>
        <w:t xml:space="preserve">倡导每个人是自己健康第一责任人 </w:t>
      </w:r>
      <w:r>
        <w:rPr>
          <w:spacing w:val="-4"/>
        </w:rPr>
        <w:t>的理念，激发居民热爱健康、追求健康的热情，养成符合自</w:t>
      </w:r>
      <w:r>
        <w:rPr>
          <w:spacing w:val="-5"/>
          <w:w w:val="95"/>
        </w:rPr>
        <w:t xml:space="preserve">身和家庭特点的健康生活方式，合理膳食、科学运动、戒烟 </w:t>
      </w:r>
      <w:r>
        <w:rPr>
          <w:spacing w:val="-5"/>
        </w:rPr>
        <w:t>限酒、心理平衡，实现健康生活少生病。</w:t>
      </w:r>
    </w:p>
    <w:p>
      <w:pPr>
        <w:pStyle w:val="3"/>
        <w:spacing w:before="6" w:line="350" w:lineRule="auto"/>
        <w:ind w:left="400" w:right="636" w:firstLine="640"/>
      </w:pPr>
      <w:r>
        <w:rPr>
          <w:rFonts w:ascii="Times New Roman" w:hAnsi="Times New Roman" w:eastAsia="Times New Roman"/>
          <w:w w:val="95"/>
        </w:rPr>
        <w:t>——</w:t>
      </w:r>
      <w:r>
        <w:rPr>
          <w:b/>
          <w:w w:val="95"/>
        </w:rPr>
        <w:t>提供健康服务。</w:t>
      </w:r>
      <w:r>
        <w:rPr>
          <w:w w:val="95"/>
        </w:rPr>
        <w:t xml:space="preserve">推动健康服务供给侧结构性改革， </w:t>
      </w:r>
      <w:r>
        <w:rPr>
          <w:spacing w:val="-2"/>
        </w:rPr>
        <w:t>完善防治策略、制度安排和保障政策，加强医疗保障政策与</w:t>
      </w:r>
    </w:p>
    <w:p>
      <w:pPr>
        <w:spacing w:after="0" w:line="350" w:lineRule="auto"/>
        <w:sectPr>
          <w:pgSz w:w="11910" w:h="16840"/>
          <w:pgMar w:top="1540" w:right="1140" w:bottom="1380" w:left="1400" w:header="0" w:footer="1171" w:gutter="0"/>
        </w:sectPr>
      </w:pPr>
    </w:p>
    <w:p>
      <w:pPr>
        <w:pStyle w:val="3"/>
        <w:spacing w:line="350" w:lineRule="auto"/>
        <w:ind w:left="400" w:right="657" w:firstLine="0"/>
        <w:jc w:val="both"/>
      </w:pPr>
      <w:r>
        <w:rPr>
          <w:spacing w:val="-3"/>
          <w:w w:val="95"/>
        </w:rPr>
        <w:t xml:space="preserve">公共卫生政策衔接，提供系统连续的预防、治疗、康复、健 </w:t>
      </w:r>
      <w:r>
        <w:rPr>
          <w:spacing w:val="-5"/>
        </w:rPr>
        <w:t>康促进一体化服务，提升健康服务的公平性、可及性、有效性，实现早诊早治早康复。</w:t>
      </w:r>
    </w:p>
    <w:p>
      <w:pPr>
        <w:pStyle w:val="3"/>
        <w:spacing w:before="4" w:line="350" w:lineRule="auto"/>
        <w:ind w:left="400" w:right="498" w:firstLine="640"/>
      </w:pPr>
      <w:r>
        <w:rPr>
          <w:rFonts w:ascii="Times New Roman" w:hAnsi="Times New Roman" w:eastAsia="Times New Roman"/>
          <w:w w:val="95"/>
        </w:rPr>
        <w:t>——</w:t>
      </w:r>
      <w:r>
        <w:rPr>
          <w:b/>
          <w:spacing w:val="-13"/>
          <w:w w:val="95"/>
        </w:rPr>
        <w:t>延长健康寿命。</w:t>
      </w:r>
      <w:r>
        <w:rPr>
          <w:spacing w:val="-10"/>
          <w:w w:val="95"/>
        </w:rPr>
        <w:t xml:space="preserve">强化跨部门协作，鼓励和引导单位、 </w:t>
      </w:r>
      <w:r>
        <w:rPr>
          <w:spacing w:val="-6"/>
        </w:rPr>
        <w:t>社区、家庭、居民个人行动起来，对主要健康问题及影响因素采取有效干预，形成政府积极主导、社会广泛参与、个人自主自律的良好局面，持续提高健康预期寿命。</w:t>
      </w:r>
    </w:p>
    <w:p>
      <w:pPr>
        <w:pStyle w:val="2"/>
        <w:ind w:left="1040"/>
      </w:pPr>
      <w:bookmarkStart w:id="10" w:name="（三）总体目标。"/>
      <w:bookmarkEnd w:id="10"/>
      <w:r>
        <w:t>（三）总体目标。</w:t>
      </w:r>
    </w:p>
    <w:p>
      <w:pPr>
        <w:pStyle w:val="3"/>
        <w:spacing w:before="189" w:line="350" w:lineRule="auto"/>
        <w:ind w:left="400" w:right="657" w:firstLine="640"/>
        <w:jc w:val="both"/>
      </w:pPr>
      <w:r>
        <w:rPr>
          <w:spacing w:val="-43"/>
        </w:rPr>
        <w:t xml:space="preserve">到 </w:t>
      </w:r>
      <w:r>
        <w:rPr>
          <w:rFonts w:ascii="Times New Roman" w:eastAsia="Times New Roman"/>
        </w:rPr>
        <w:t xml:space="preserve">2022 </w:t>
      </w:r>
      <w:r>
        <w:rPr>
          <w:spacing w:val="6"/>
        </w:rPr>
        <w:t>年，覆盖经济社会各相关领域的健康促进政策</w:t>
      </w:r>
      <w:r>
        <w:rPr>
          <w:spacing w:val="-1"/>
        </w:rPr>
        <w:t>体系基本建立，全民健康素养水平稳步提高，健康生活方式</w:t>
      </w:r>
      <w:r>
        <w:rPr>
          <w:spacing w:val="-3"/>
          <w:w w:val="95"/>
        </w:rPr>
        <w:t xml:space="preserve">加快推广，心脑血管疾病、癌症、慢性呼吸系统疾病、糖尿 </w:t>
      </w:r>
      <w:r>
        <w:rPr>
          <w:spacing w:val="-5"/>
        </w:rPr>
        <w:t>病等重大慢性病发病率上升趋势得到遏制，重点传染病、严重精神障碍、地方病、职业病得到有效防控，致残和死亡风险逐步降低，重点人群健康状况显著改善。</w:t>
      </w:r>
    </w:p>
    <w:p>
      <w:pPr>
        <w:pStyle w:val="3"/>
        <w:spacing w:before="9" w:line="350" w:lineRule="auto"/>
        <w:ind w:left="400" w:right="657" w:firstLine="640"/>
        <w:jc w:val="both"/>
      </w:pPr>
      <w:r>
        <w:rPr>
          <w:spacing w:val="-43"/>
        </w:rPr>
        <w:t xml:space="preserve">到 </w:t>
      </w:r>
      <w:r>
        <w:rPr>
          <w:rFonts w:ascii="Times New Roman" w:hAnsi="Times New Roman" w:eastAsia="Times New Roman"/>
        </w:rPr>
        <w:t xml:space="preserve">2030 </w:t>
      </w:r>
      <w:r>
        <w:rPr>
          <w:spacing w:val="6"/>
        </w:rPr>
        <w:t>年，全民健康素养水平大幅提升，健康生活方</w:t>
      </w:r>
      <w:r>
        <w:rPr>
          <w:spacing w:val="-1"/>
        </w:rPr>
        <w:t>式基本普及，居民主要健康影响因素得到有效控制，因重大</w:t>
      </w:r>
      <w:r>
        <w:rPr>
          <w:spacing w:val="-2"/>
        </w:rPr>
        <w:t>慢性病导致的过早死亡率明显降低，人均健康预期寿命得到</w:t>
      </w:r>
      <w:r>
        <w:rPr>
          <w:spacing w:val="-4"/>
          <w:w w:val="95"/>
        </w:rPr>
        <w:t xml:space="preserve">较大提高，居民主要健康指标水平进入高收入国家行列，健 </w:t>
      </w:r>
      <w:r>
        <w:rPr>
          <w:spacing w:val="-8"/>
        </w:rPr>
        <w:t>康公平基本实现，实现《</w:t>
      </w:r>
      <w:r>
        <w:rPr>
          <w:rFonts w:ascii="Times New Roman" w:hAnsi="Times New Roman" w:eastAsia="Times New Roman"/>
        </w:rPr>
        <w:t>“</w:t>
      </w:r>
      <w:r>
        <w:rPr>
          <w:spacing w:val="-19"/>
        </w:rPr>
        <w:t xml:space="preserve">健康中国 </w:t>
      </w:r>
      <w:r>
        <w:rPr>
          <w:rFonts w:ascii="Times New Roman" w:hAnsi="Times New Roman" w:eastAsia="Times New Roman"/>
        </w:rPr>
        <w:t>2030”</w:t>
      </w:r>
      <w:r>
        <w:rPr>
          <w:spacing w:val="-4"/>
        </w:rPr>
        <w:t>规划纲要》有关目标。</w:t>
      </w:r>
    </w:p>
    <w:p>
      <w:pPr>
        <w:spacing w:after="0" w:line="350" w:lineRule="auto"/>
        <w:jc w:val="both"/>
        <w:sectPr>
          <w:pgSz w:w="11910" w:h="16840"/>
          <w:pgMar w:top="1540" w:right="1140" w:bottom="1380" w:left="1400" w:header="0" w:footer="1171" w:gutter="0"/>
        </w:sectPr>
      </w:pPr>
    </w:p>
    <w:p>
      <w:pPr>
        <w:pStyle w:val="3"/>
        <w:ind w:left="1040" w:right="0" w:firstLine="0"/>
        <w:rPr>
          <w:rFonts w:hint="eastAsia" w:ascii="黑体" w:eastAsia="黑体"/>
        </w:rPr>
      </w:pPr>
      <w:bookmarkStart w:id="11" w:name="二、主要指标"/>
      <w:bookmarkEnd w:id="11"/>
      <w:r>
        <w:rPr>
          <w:rFonts w:hint="eastAsia" w:ascii="黑体" w:eastAsia="黑体"/>
        </w:rPr>
        <w:t>二、主要指标</w:t>
      </w:r>
    </w:p>
    <w:p>
      <w:pPr>
        <w:pStyle w:val="2"/>
        <w:spacing w:before="190" w:after="29"/>
        <w:ind w:left="0" w:right="255"/>
        <w:jc w:val="center"/>
        <w:rPr>
          <w:rFonts w:hint="eastAsia" w:ascii="宋体" w:eastAsia="宋体"/>
        </w:rPr>
      </w:pPr>
      <w:r>
        <w:rPr>
          <w:rFonts w:hint="eastAsia" w:ascii="宋体" w:eastAsia="宋体"/>
        </w:rPr>
        <w:t>健康中国行动主要指标</w:t>
      </w: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Borders>
              <w:bottom w:val="single" w:color="000000" w:sz="4" w:space="0"/>
            </w:tcBorders>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164"/>
              <w:ind w:left="154"/>
              <w:rPr>
                <w:rFonts w:hint="eastAsia" w:ascii="黑体" w:eastAsia="黑体"/>
                <w:sz w:val="24"/>
              </w:rPr>
            </w:pPr>
            <w:r>
              <w:rPr>
                <w:rFonts w:hint="eastAsia" w:ascii="黑体" w:eastAsia="黑体"/>
                <w:w w:val="80"/>
                <w:sz w:val="24"/>
              </w:rPr>
              <w:t>（一</w:t>
            </w:r>
          </w:p>
          <w:p>
            <w:pPr>
              <w:pStyle w:val="11"/>
              <w:spacing w:before="5" w:line="242" w:lineRule="auto"/>
              <w:ind w:left="226" w:right="211" w:firstLine="24"/>
              <w:jc w:val="both"/>
              <w:rPr>
                <w:rFonts w:hint="eastAsia" w:ascii="黑体" w:eastAsia="黑体"/>
                <w:sz w:val="24"/>
              </w:rPr>
            </w:pPr>
            <w:r>
              <w:rPr>
                <w:rFonts w:hint="eastAsia" w:ascii="黑体" w:eastAsia="黑体"/>
                <w:w w:val="85"/>
                <w:sz w:val="24"/>
              </w:rPr>
              <w:t xml:space="preserve">） </w:t>
            </w:r>
            <w:r>
              <w:rPr>
                <w:rFonts w:hint="eastAsia" w:ascii="黑体" w:eastAsia="黑体"/>
                <w:sz w:val="24"/>
              </w:rPr>
              <w:t>健康知识普及行动</w:t>
            </w:r>
          </w:p>
        </w:tc>
        <w:tc>
          <w:tcPr>
            <w:tcW w:w="8185" w:type="dxa"/>
            <w:gridSpan w:val="6"/>
          </w:tcPr>
          <w:p>
            <w:pPr>
              <w:pStyle w:val="11"/>
              <w:spacing w:before="45"/>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bottom w:val="single" w:color="000000" w:sz="4" w:space="0"/>
            </w:tcBorders>
          </w:tcPr>
          <w:p>
            <w:pPr>
              <w:rPr>
                <w:sz w:val="2"/>
                <w:szCs w:val="2"/>
              </w:rPr>
            </w:pPr>
          </w:p>
        </w:tc>
        <w:tc>
          <w:tcPr>
            <w:tcW w:w="693" w:type="dxa"/>
            <w:vMerge w:val="restart"/>
          </w:tcPr>
          <w:p>
            <w:pPr>
              <w:pStyle w:val="11"/>
              <w:rPr>
                <w:rFonts w:ascii="宋体"/>
                <w:b/>
                <w:sz w:val="26"/>
              </w:rPr>
            </w:pPr>
          </w:p>
          <w:p>
            <w:pPr>
              <w:pStyle w:val="11"/>
              <w:spacing w:before="10"/>
              <w:rPr>
                <w:rFonts w:ascii="宋体"/>
                <w:b/>
                <w:sz w:val="23"/>
              </w:rPr>
            </w:pPr>
          </w:p>
          <w:p>
            <w:pPr>
              <w:pStyle w:val="11"/>
              <w:ind w:left="12"/>
              <w:jc w:val="center"/>
              <w:rPr>
                <w:rFonts w:ascii="Times New Roman"/>
                <w:sz w:val="24"/>
              </w:rPr>
            </w:pPr>
            <w:r>
              <w:rPr>
                <w:rFonts w:ascii="Times New Roman"/>
                <w:sz w:val="24"/>
              </w:rPr>
              <w:t>1</w:t>
            </w:r>
          </w:p>
        </w:tc>
        <w:tc>
          <w:tcPr>
            <w:tcW w:w="3458" w:type="dxa"/>
          </w:tcPr>
          <w:p>
            <w:pPr>
              <w:pStyle w:val="11"/>
              <w:spacing w:before="43"/>
              <w:ind w:left="108"/>
              <w:rPr>
                <w:rFonts w:hint="eastAsia" w:ascii="仿宋" w:eastAsia="仿宋"/>
                <w:b/>
                <w:sz w:val="24"/>
              </w:rPr>
            </w:pPr>
            <w:r>
              <w:rPr>
                <w:rFonts w:hint="eastAsia" w:ascii="仿宋" w:eastAsia="仿宋"/>
                <w:b/>
                <w:sz w:val="24"/>
              </w:rPr>
              <w:t>居民健康素养水平（</w:t>
            </w:r>
            <w:r>
              <w:rPr>
                <w:rFonts w:ascii="Times New Roman" w:eastAsia="Times New Roman"/>
                <w:b/>
                <w:sz w:val="24"/>
              </w:rPr>
              <w:t>%</w:t>
            </w:r>
            <w:r>
              <w:rPr>
                <w:rFonts w:hint="eastAsia" w:ascii="仿宋" w:eastAsia="仿宋"/>
                <w:b/>
                <w:sz w:val="24"/>
              </w:rPr>
              <w:t>）</w:t>
            </w:r>
          </w:p>
        </w:tc>
        <w:tc>
          <w:tcPr>
            <w:tcW w:w="1282" w:type="dxa"/>
          </w:tcPr>
          <w:p>
            <w:pPr>
              <w:pStyle w:val="11"/>
              <w:spacing w:before="59"/>
              <w:ind w:left="89" w:right="76"/>
              <w:jc w:val="center"/>
              <w:rPr>
                <w:rFonts w:ascii="Times New Roman"/>
                <w:sz w:val="24"/>
              </w:rPr>
            </w:pPr>
            <w:r>
              <w:rPr>
                <w:rFonts w:ascii="Times New Roman"/>
                <w:sz w:val="24"/>
              </w:rPr>
              <w:t>14.18</w:t>
            </w:r>
          </w:p>
        </w:tc>
        <w:tc>
          <w:tcPr>
            <w:tcW w:w="851" w:type="dxa"/>
          </w:tcPr>
          <w:p>
            <w:pPr>
              <w:pStyle w:val="11"/>
              <w:spacing w:before="59"/>
              <w:ind w:left="66" w:right="52"/>
              <w:jc w:val="center"/>
              <w:rPr>
                <w:rFonts w:ascii="Times New Roman" w:hAnsi="Times New Roman"/>
                <w:sz w:val="24"/>
              </w:rPr>
            </w:pPr>
            <w:r>
              <w:rPr>
                <w:rFonts w:ascii="Times New Roman" w:hAnsi="Times New Roman"/>
                <w:sz w:val="24"/>
              </w:rPr>
              <w:t>≥22</w:t>
            </w:r>
          </w:p>
        </w:tc>
        <w:tc>
          <w:tcPr>
            <w:tcW w:w="851" w:type="dxa"/>
          </w:tcPr>
          <w:p>
            <w:pPr>
              <w:pStyle w:val="11"/>
              <w:spacing w:before="59"/>
              <w:ind w:left="66" w:right="53"/>
              <w:jc w:val="center"/>
              <w:rPr>
                <w:rFonts w:ascii="Times New Roman" w:hAnsi="Times New Roman"/>
                <w:sz w:val="24"/>
              </w:rPr>
            </w:pPr>
            <w:r>
              <w:rPr>
                <w:rFonts w:ascii="Times New Roman" w:hAnsi="Times New Roman"/>
                <w:sz w:val="24"/>
              </w:rPr>
              <w:t>≥30</w:t>
            </w:r>
          </w:p>
        </w:tc>
        <w:tc>
          <w:tcPr>
            <w:tcW w:w="1050" w:type="dxa"/>
          </w:tcPr>
          <w:p>
            <w:pPr>
              <w:pStyle w:val="11"/>
              <w:spacing w:before="43"/>
              <w:ind w:left="107"/>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42" w:hRule="atLeast"/>
        </w:trPr>
        <w:tc>
          <w:tcPr>
            <w:tcW w:w="695" w:type="dxa"/>
            <w:vMerge w:val="continue"/>
            <w:tcBorders>
              <w:top w:val="nil"/>
              <w:bottom w:val="single" w:color="000000" w:sz="4" w:space="0"/>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26" w:line="242" w:lineRule="auto"/>
              <w:ind w:left="108" w:right="92"/>
              <w:jc w:val="both"/>
              <w:rPr>
                <w:sz w:val="21"/>
              </w:rPr>
            </w:pPr>
            <w:r>
              <w:rPr>
                <w:spacing w:val="-8"/>
                <w:w w:val="95"/>
                <w:sz w:val="21"/>
              </w:rPr>
              <w:t xml:space="preserve">说明：健康素养是指个人获取和理解基本健康信息和服务，并运用这些信息和服  </w:t>
            </w:r>
            <w:r>
              <w:rPr>
                <w:spacing w:val="-12"/>
                <w:w w:val="95"/>
                <w:sz w:val="21"/>
              </w:rPr>
              <w:t xml:space="preserve">务作出正确决策，以维护和促进自身健康的能力。健康素养水平是指具备健康素  </w:t>
            </w:r>
            <w:r>
              <w:rPr>
                <w:spacing w:val="-12"/>
                <w:sz w:val="21"/>
              </w:rPr>
              <w:t>养的人在监测总人群中所占的比例。</w:t>
            </w:r>
          </w:p>
          <w:p>
            <w:pPr>
              <w:pStyle w:val="11"/>
              <w:spacing w:before="3"/>
              <w:ind w:left="108"/>
              <w:rPr>
                <w:sz w:val="21"/>
              </w:rPr>
            </w:pPr>
            <w:r>
              <w:rPr>
                <w:sz w:val="21"/>
              </w:rPr>
              <w:t>计算方法：具备基本健康素养的人数</w:t>
            </w:r>
            <w:r>
              <w:rPr>
                <w:rFonts w:ascii="Times New Roman" w:hAnsi="Times New Roman" w:eastAsia="Times New Roman"/>
                <w:sz w:val="21"/>
              </w:rPr>
              <w:t>/</w:t>
            </w:r>
            <w:r>
              <w:rPr>
                <w:sz w:val="21"/>
              </w:rPr>
              <w:t>监测人群总人数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bottom w:val="single" w:color="000000" w:sz="4" w:space="0"/>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bottom w:val="single" w:color="000000" w:sz="4" w:space="0"/>
            </w:tcBorders>
          </w:tcPr>
          <w:p>
            <w:pPr>
              <w:rPr>
                <w:sz w:val="2"/>
                <w:szCs w:val="2"/>
              </w:rPr>
            </w:pPr>
          </w:p>
        </w:tc>
        <w:tc>
          <w:tcPr>
            <w:tcW w:w="693" w:type="dxa"/>
          </w:tcPr>
          <w:p>
            <w:pPr>
              <w:pStyle w:val="11"/>
              <w:spacing w:before="60"/>
              <w:ind w:right="270"/>
              <w:jc w:val="right"/>
              <w:rPr>
                <w:rFonts w:ascii="Times New Roman"/>
                <w:sz w:val="24"/>
              </w:rPr>
            </w:pPr>
            <w:r>
              <w:rPr>
                <w:rFonts w:ascii="Times New Roman"/>
                <w:sz w:val="24"/>
              </w:rPr>
              <w:t>2</w:t>
            </w:r>
          </w:p>
        </w:tc>
        <w:tc>
          <w:tcPr>
            <w:tcW w:w="6442" w:type="dxa"/>
            <w:gridSpan w:val="4"/>
          </w:tcPr>
          <w:p>
            <w:pPr>
              <w:pStyle w:val="11"/>
              <w:spacing w:before="44"/>
              <w:ind w:left="108"/>
              <w:rPr>
                <w:rFonts w:hint="eastAsia" w:ascii="仿宋" w:eastAsia="仿宋"/>
                <w:b/>
                <w:sz w:val="24"/>
              </w:rPr>
            </w:pPr>
            <w:r>
              <w:rPr>
                <w:rFonts w:hint="eastAsia" w:ascii="仿宋" w:eastAsia="仿宋"/>
                <w:b/>
                <w:sz w:val="24"/>
              </w:rPr>
              <w:t>个人定期记录身心健康状况</w:t>
            </w:r>
          </w:p>
        </w:tc>
        <w:tc>
          <w:tcPr>
            <w:tcW w:w="1050" w:type="dxa"/>
          </w:tcPr>
          <w:p>
            <w:pPr>
              <w:pStyle w:val="11"/>
              <w:spacing w:before="44"/>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bottom w:val="single" w:color="000000" w:sz="4" w:space="0"/>
            </w:tcBorders>
          </w:tcPr>
          <w:p>
            <w:pPr>
              <w:rPr>
                <w:sz w:val="2"/>
                <w:szCs w:val="2"/>
              </w:rPr>
            </w:pPr>
          </w:p>
        </w:tc>
        <w:tc>
          <w:tcPr>
            <w:tcW w:w="693" w:type="dxa"/>
          </w:tcPr>
          <w:p>
            <w:pPr>
              <w:pStyle w:val="11"/>
              <w:spacing w:before="61"/>
              <w:ind w:right="270"/>
              <w:jc w:val="right"/>
              <w:rPr>
                <w:rFonts w:ascii="Times New Roman"/>
                <w:sz w:val="24"/>
              </w:rPr>
            </w:pPr>
            <w:r>
              <w:rPr>
                <w:rFonts w:ascii="Times New Roman"/>
                <w:sz w:val="24"/>
              </w:rPr>
              <w:t>3</w:t>
            </w:r>
          </w:p>
        </w:tc>
        <w:tc>
          <w:tcPr>
            <w:tcW w:w="6442" w:type="dxa"/>
            <w:gridSpan w:val="4"/>
          </w:tcPr>
          <w:p>
            <w:pPr>
              <w:pStyle w:val="11"/>
              <w:spacing w:before="45"/>
              <w:ind w:left="108"/>
              <w:rPr>
                <w:rFonts w:hint="eastAsia" w:ascii="仿宋" w:eastAsia="仿宋"/>
                <w:b/>
                <w:sz w:val="24"/>
              </w:rPr>
            </w:pPr>
            <w:r>
              <w:rPr>
                <w:rFonts w:hint="eastAsia" w:ascii="仿宋" w:eastAsia="仿宋"/>
                <w:b/>
                <w:sz w:val="24"/>
              </w:rPr>
              <w:t>个人了解掌握基本中医药健康知识</w:t>
            </w:r>
          </w:p>
        </w:tc>
        <w:tc>
          <w:tcPr>
            <w:tcW w:w="1050" w:type="dxa"/>
          </w:tcPr>
          <w:p>
            <w:pPr>
              <w:pStyle w:val="11"/>
              <w:spacing w:before="45"/>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bottom w:val="single" w:color="000000" w:sz="4" w:space="0"/>
            </w:tcBorders>
          </w:tcPr>
          <w:p>
            <w:pPr>
              <w:rPr>
                <w:sz w:val="2"/>
                <w:szCs w:val="2"/>
              </w:rPr>
            </w:pPr>
          </w:p>
        </w:tc>
        <w:tc>
          <w:tcPr>
            <w:tcW w:w="693" w:type="dxa"/>
            <w:vMerge w:val="restart"/>
          </w:tcPr>
          <w:p>
            <w:pPr>
              <w:pStyle w:val="11"/>
              <w:spacing w:before="6"/>
              <w:rPr>
                <w:rFonts w:ascii="宋体"/>
                <w:b/>
                <w:sz w:val="26"/>
              </w:rPr>
            </w:pPr>
          </w:p>
          <w:p>
            <w:pPr>
              <w:pStyle w:val="11"/>
              <w:spacing w:before="1"/>
              <w:ind w:left="12"/>
              <w:jc w:val="center"/>
              <w:rPr>
                <w:rFonts w:ascii="Times New Roman"/>
                <w:sz w:val="24"/>
              </w:rPr>
            </w:pPr>
            <w:r>
              <w:rPr>
                <w:rFonts w:ascii="Times New Roman"/>
                <w:sz w:val="24"/>
              </w:rPr>
              <w:t>4</w:t>
            </w:r>
          </w:p>
        </w:tc>
        <w:tc>
          <w:tcPr>
            <w:tcW w:w="6442" w:type="dxa"/>
            <w:gridSpan w:val="4"/>
          </w:tcPr>
          <w:p>
            <w:pPr>
              <w:pStyle w:val="11"/>
              <w:spacing w:before="43"/>
              <w:ind w:left="108"/>
              <w:rPr>
                <w:rFonts w:hint="eastAsia" w:ascii="仿宋" w:eastAsia="仿宋"/>
                <w:b/>
                <w:sz w:val="24"/>
              </w:rPr>
            </w:pPr>
            <w:r>
              <w:rPr>
                <w:rFonts w:hint="eastAsia" w:ascii="仿宋" w:eastAsia="仿宋"/>
                <w:b/>
                <w:sz w:val="24"/>
              </w:rPr>
              <w:t>居民掌握基本的急救知识和技能</w:t>
            </w:r>
          </w:p>
        </w:tc>
        <w:tc>
          <w:tcPr>
            <w:tcW w:w="1050" w:type="dxa"/>
          </w:tcPr>
          <w:p>
            <w:pPr>
              <w:pStyle w:val="11"/>
              <w:spacing w:before="43"/>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bottom w:val="single" w:color="000000" w:sz="4" w:space="0"/>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70" w:lineRule="atLeast"/>
              <w:ind w:left="108" w:right="17"/>
              <w:rPr>
                <w:sz w:val="21"/>
              </w:rPr>
            </w:pPr>
            <w:r>
              <w:rPr>
                <w:spacing w:val="-7"/>
                <w:sz w:val="21"/>
              </w:rPr>
              <w:t>说明：基本的急救知识和技能包括心肺复苏术、急救包扎和固定搬运、海姆立克</w:t>
            </w:r>
            <w:r>
              <w:rPr>
                <w:spacing w:val="-7"/>
                <w:w w:val="95"/>
                <w:sz w:val="21"/>
              </w:rPr>
              <w:t>急救法（对气管被异物堵塞的患者，通过向其上腹部施压，促进异物排出）等。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695" w:type="dxa"/>
            <w:vMerge w:val="continue"/>
            <w:tcBorders>
              <w:top w:val="nil"/>
              <w:bottom w:val="single" w:color="000000" w:sz="4" w:space="0"/>
            </w:tcBorders>
          </w:tcPr>
          <w:p>
            <w:pPr>
              <w:rPr>
                <w:sz w:val="2"/>
                <w:szCs w:val="2"/>
              </w:rPr>
            </w:pPr>
          </w:p>
        </w:tc>
        <w:tc>
          <w:tcPr>
            <w:tcW w:w="693" w:type="dxa"/>
          </w:tcPr>
          <w:p>
            <w:pPr>
              <w:pStyle w:val="11"/>
              <w:spacing w:before="172"/>
              <w:ind w:right="270"/>
              <w:jc w:val="right"/>
              <w:rPr>
                <w:rFonts w:ascii="Times New Roman"/>
                <w:sz w:val="24"/>
              </w:rPr>
            </w:pPr>
            <w:r>
              <w:rPr>
                <w:rFonts w:ascii="Times New Roman"/>
                <w:sz w:val="24"/>
              </w:rPr>
              <w:t>5</w:t>
            </w:r>
          </w:p>
        </w:tc>
        <w:tc>
          <w:tcPr>
            <w:tcW w:w="6442" w:type="dxa"/>
            <w:gridSpan w:val="4"/>
          </w:tcPr>
          <w:p>
            <w:pPr>
              <w:pStyle w:val="11"/>
              <w:spacing w:line="310" w:lineRule="atLeast"/>
              <w:ind w:left="108" w:right="27"/>
              <w:rPr>
                <w:rFonts w:hint="eastAsia" w:ascii="仿宋" w:eastAsia="仿宋"/>
                <w:b/>
                <w:sz w:val="24"/>
              </w:rPr>
            </w:pPr>
            <w:r>
              <w:rPr>
                <w:rFonts w:hint="eastAsia" w:ascii="仿宋" w:eastAsia="仿宋"/>
                <w:b/>
                <w:sz w:val="24"/>
              </w:rPr>
              <w:t>医务人员掌握与岗位相适应的健康科普知识，并在诊疗过程主动提供健康指导。</w:t>
            </w:r>
          </w:p>
        </w:tc>
        <w:tc>
          <w:tcPr>
            <w:tcW w:w="1050" w:type="dxa"/>
          </w:tcPr>
          <w:p>
            <w:pPr>
              <w:pStyle w:val="11"/>
              <w:spacing w:before="156"/>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bottom w:val="single" w:color="000000" w:sz="4" w:space="0"/>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3" w:hRule="atLeast"/>
        </w:trPr>
        <w:tc>
          <w:tcPr>
            <w:tcW w:w="695" w:type="dxa"/>
            <w:vMerge w:val="continue"/>
            <w:tcBorders>
              <w:top w:val="nil"/>
              <w:bottom w:val="single" w:color="000000" w:sz="4" w:space="0"/>
            </w:tcBorders>
          </w:tcPr>
          <w:p>
            <w:pPr>
              <w:rPr>
                <w:sz w:val="2"/>
                <w:szCs w:val="2"/>
              </w:rPr>
            </w:pPr>
          </w:p>
        </w:tc>
        <w:tc>
          <w:tcPr>
            <w:tcW w:w="693" w:type="dxa"/>
            <w:vMerge w:val="restart"/>
          </w:tcPr>
          <w:p>
            <w:pPr>
              <w:pStyle w:val="11"/>
              <w:rPr>
                <w:rFonts w:ascii="宋体"/>
                <w:b/>
                <w:sz w:val="26"/>
              </w:rPr>
            </w:pPr>
          </w:p>
          <w:p>
            <w:pPr>
              <w:pStyle w:val="11"/>
              <w:spacing w:before="11"/>
              <w:rPr>
                <w:rFonts w:ascii="宋体"/>
                <w:b/>
                <w:sz w:val="31"/>
              </w:rPr>
            </w:pPr>
          </w:p>
          <w:p>
            <w:pPr>
              <w:pStyle w:val="11"/>
              <w:ind w:left="12"/>
              <w:jc w:val="center"/>
              <w:rPr>
                <w:rFonts w:ascii="Times New Roman"/>
                <w:sz w:val="24"/>
              </w:rPr>
            </w:pPr>
            <w:r>
              <w:rPr>
                <w:rFonts w:ascii="Times New Roman"/>
                <w:sz w:val="24"/>
              </w:rPr>
              <w:t>6</w:t>
            </w:r>
          </w:p>
        </w:tc>
        <w:tc>
          <w:tcPr>
            <w:tcW w:w="3458" w:type="dxa"/>
          </w:tcPr>
          <w:p>
            <w:pPr>
              <w:pStyle w:val="11"/>
              <w:spacing w:before="1"/>
              <w:ind w:left="108"/>
              <w:rPr>
                <w:rFonts w:hint="eastAsia" w:ascii="仿宋" w:eastAsia="仿宋"/>
                <w:b/>
                <w:sz w:val="24"/>
              </w:rPr>
            </w:pPr>
            <w:r>
              <w:rPr>
                <w:rFonts w:hint="eastAsia" w:ascii="仿宋" w:eastAsia="仿宋"/>
                <w:b/>
                <w:sz w:val="24"/>
              </w:rPr>
              <w:t>建立并完善健康科普专家库和</w:t>
            </w:r>
          </w:p>
          <w:p>
            <w:pPr>
              <w:pStyle w:val="11"/>
              <w:spacing w:before="2" w:line="310" w:lineRule="atLeast"/>
              <w:ind w:left="108" w:right="78"/>
              <w:rPr>
                <w:rFonts w:hint="eastAsia" w:ascii="仿宋" w:eastAsia="仿宋"/>
                <w:b/>
                <w:sz w:val="24"/>
              </w:rPr>
            </w:pPr>
            <w:r>
              <w:rPr>
                <w:rFonts w:hint="eastAsia" w:ascii="仿宋" w:eastAsia="仿宋"/>
                <w:b/>
                <w:sz w:val="24"/>
              </w:rPr>
              <w:t>资源库，构建健康科普知识发布和传播机制</w:t>
            </w:r>
          </w:p>
        </w:tc>
        <w:tc>
          <w:tcPr>
            <w:tcW w:w="1282" w:type="dxa"/>
          </w:tcPr>
          <w:p>
            <w:pPr>
              <w:pStyle w:val="11"/>
              <w:spacing w:before="6"/>
              <w:rPr>
                <w:rFonts w:ascii="宋体"/>
                <w:b/>
                <w:sz w:val="25"/>
              </w:rPr>
            </w:pPr>
          </w:p>
          <w:p>
            <w:pPr>
              <w:pStyle w:val="11"/>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3"/>
              <w:rPr>
                <w:rFonts w:ascii="宋体"/>
                <w:b/>
                <w:sz w:val="24"/>
              </w:rPr>
            </w:pPr>
          </w:p>
          <w:p>
            <w:pPr>
              <w:pStyle w:val="11"/>
              <w:ind w:left="551" w:right="539"/>
              <w:jc w:val="center"/>
              <w:rPr>
                <w:rFonts w:hint="eastAsia" w:ascii="仿宋" w:eastAsia="仿宋"/>
                <w:sz w:val="24"/>
              </w:rPr>
            </w:pPr>
            <w:r>
              <w:rPr>
                <w:rFonts w:hint="eastAsia" w:ascii="仿宋" w:eastAsia="仿宋"/>
                <w:sz w:val="24"/>
              </w:rPr>
              <w:t>实现</w:t>
            </w:r>
          </w:p>
        </w:tc>
        <w:tc>
          <w:tcPr>
            <w:tcW w:w="1050" w:type="dxa"/>
          </w:tcPr>
          <w:p>
            <w:pPr>
              <w:pStyle w:val="11"/>
              <w:spacing w:before="3"/>
              <w:rPr>
                <w:rFonts w:ascii="宋体"/>
                <w:b/>
                <w:sz w:val="24"/>
              </w:rPr>
            </w:pPr>
          </w:p>
          <w:p>
            <w:pPr>
              <w:pStyle w:val="11"/>
              <w:ind w:left="165"/>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6" w:hRule="atLeast"/>
        </w:trPr>
        <w:tc>
          <w:tcPr>
            <w:tcW w:w="695" w:type="dxa"/>
            <w:vMerge w:val="continue"/>
            <w:tcBorders>
              <w:top w:val="nil"/>
              <w:bottom w:val="single" w:color="000000" w:sz="4" w:space="0"/>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ind w:left="108"/>
              <w:rPr>
                <w:sz w:val="21"/>
              </w:rPr>
            </w:pPr>
            <w:r>
              <w:rPr>
                <w:sz w:val="21"/>
              </w:rPr>
              <w:t>说明：建立并完善国家和省级健康科普专家库，组织专家开展健康科普活动；建</w:t>
            </w:r>
          </w:p>
          <w:p>
            <w:pPr>
              <w:pStyle w:val="11"/>
              <w:spacing w:before="3" w:line="270" w:lineRule="atLeast"/>
              <w:ind w:left="108" w:right="92"/>
              <w:rPr>
                <w:sz w:val="21"/>
              </w:rPr>
            </w:pPr>
            <w:r>
              <w:rPr>
                <w:spacing w:val="-5"/>
                <w:w w:val="95"/>
                <w:sz w:val="21"/>
              </w:rPr>
              <w:t xml:space="preserve">立并完善国家级健康科普资源库，出版、遴选、推介一批健康科普读物和科普材  </w:t>
            </w:r>
            <w:r>
              <w:rPr>
                <w:spacing w:val="-5"/>
                <w:sz w:val="21"/>
              </w:rPr>
              <w:t>料；构建健康科普知识发布和传播的机制。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4" w:hRule="atLeast"/>
        </w:trPr>
        <w:tc>
          <w:tcPr>
            <w:tcW w:w="695" w:type="dxa"/>
            <w:vMerge w:val="continue"/>
            <w:tcBorders>
              <w:top w:val="nil"/>
              <w:bottom w:val="single" w:color="000000" w:sz="4" w:space="0"/>
            </w:tcBorders>
          </w:tcPr>
          <w:p>
            <w:pPr>
              <w:rPr>
                <w:sz w:val="2"/>
                <w:szCs w:val="2"/>
              </w:rPr>
            </w:pPr>
          </w:p>
        </w:tc>
        <w:tc>
          <w:tcPr>
            <w:tcW w:w="693" w:type="dxa"/>
          </w:tcPr>
          <w:p>
            <w:pPr>
              <w:pStyle w:val="11"/>
              <w:spacing w:before="7"/>
              <w:rPr>
                <w:rFonts w:ascii="宋体"/>
                <w:b/>
                <w:sz w:val="25"/>
              </w:rPr>
            </w:pPr>
          </w:p>
          <w:p>
            <w:pPr>
              <w:pStyle w:val="11"/>
              <w:ind w:right="270"/>
              <w:jc w:val="right"/>
              <w:rPr>
                <w:rFonts w:ascii="Times New Roman"/>
                <w:sz w:val="24"/>
              </w:rPr>
            </w:pPr>
            <w:r>
              <w:rPr>
                <w:rFonts w:ascii="Times New Roman"/>
                <w:sz w:val="24"/>
              </w:rPr>
              <w:t>7</w:t>
            </w:r>
          </w:p>
        </w:tc>
        <w:tc>
          <w:tcPr>
            <w:tcW w:w="3458" w:type="dxa"/>
          </w:tcPr>
          <w:p>
            <w:pPr>
              <w:pStyle w:val="11"/>
              <w:spacing w:before="2"/>
              <w:ind w:left="108"/>
              <w:rPr>
                <w:rFonts w:hint="eastAsia" w:ascii="仿宋" w:eastAsia="仿宋"/>
                <w:b/>
                <w:sz w:val="24"/>
              </w:rPr>
            </w:pPr>
            <w:r>
              <w:rPr>
                <w:rFonts w:hint="eastAsia" w:ascii="仿宋" w:eastAsia="仿宋"/>
                <w:b/>
                <w:sz w:val="24"/>
              </w:rPr>
              <w:t>建立医疗机构和医务人员开展</w:t>
            </w:r>
          </w:p>
          <w:p>
            <w:pPr>
              <w:pStyle w:val="11"/>
              <w:spacing w:before="2" w:line="310" w:lineRule="atLeast"/>
              <w:ind w:left="108" w:right="78"/>
              <w:rPr>
                <w:rFonts w:hint="eastAsia" w:ascii="仿宋" w:eastAsia="仿宋"/>
                <w:b/>
                <w:sz w:val="24"/>
              </w:rPr>
            </w:pPr>
            <w:r>
              <w:rPr>
                <w:rFonts w:hint="eastAsia" w:ascii="仿宋" w:eastAsia="仿宋"/>
                <w:b/>
                <w:sz w:val="24"/>
              </w:rPr>
              <w:t>健康教育和健康促进的绩效考核机制</w:t>
            </w:r>
          </w:p>
        </w:tc>
        <w:tc>
          <w:tcPr>
            <w:tcW w:w="1282" w:type="dxa"/>
          </w:tcPr>
          <w:p>
            <w:pPr>
              <w:pStyle w:val="11"/>
              <w:spacing w:before="7"/>
              <w:rPr>
                <w:rFonts w:ascii="宋体"/>
                <w:b/>
                <w:sz w:val="25"/>
              </w:rPr>
            </w:pPr>
          </w:p>
          <w:p>
            <w:pPr>
              <w:pStyle w:val="11"/>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4"/>
              <w:rPr>
                <w:rFonts w:ascii="宋体"/>
                <w:b/>
                <w:sz w:val="24"/>
              </w:rPr>
            </w:pPr>
          </w:p>
          <w:p>
            <w:pPr>
              <w:pStyle w:val="11"/>
              <w:ind w:left="551" w:right="539"/>
              <w:jc w:val="center"/>
              <w:rPr>
                <w:rFonts w:hint="eastAsia" w:ascii="仿宋" w:eastAsia="仿宋"/>
                <w:sz w:val="24"/>
              </w:rPr>
            </w:pPr>
            <w:r>
              <w:rPr>
                <w:rFonts w:hint="eastAsia" w:ascii="仿宋" w:eastAsia="仿宋"/>
                <w:sz w:val="24"/>
              </w:rPr>
              <w:t>实现</w:t>
            </w:r>
          </w:p>
        </w:tc>
        <w:tc>
          <w:tcPr>
            <w:tcW w:w="1050" w:type="dxa"/>
          </w:tcPr>
          <w:p>
            <w:pPr>
              <w:pStyle w:val="11"/>
              <w:spacing w:before="4"/>
              <w:rPr>
                <w:rFonts w:ascii="宋体"/>
                <w:b/>
                <w:sz w:val="24"/>
              </w:rPr>
            </w:pPr>
          </w:p>
          <w:p>
            <w:pPr>
              <w:pStyle w:val="11"/>
              <w:ind w:left="165"/>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3" w:hRule="atLeast"/>
        </w:trPr>
        <w:tc>
          <w:tcPr>
            <w:tcW w:w="695" w:type="dxa"/>
            <w:vMerge w:val="continue"/>
            <w:tcBorders>
              <w:top w:val="nil"/>
              <w:bottom w:val="single" w:color="000000" w:sz="4" w:space="0"/>
            </w:tcBorders>
          </w:tcPr>
          <w:p>
            <w:pPr>
              <w:rPr>
                <w:sz w:val="2"/>
                <w:szCs w:val="2"/>
              </w:rPr>
            </w:pPr>
          </w:p>
        </w:tc>
        <w:tc>
          <w:tcPr>
            <w:tcW w:w="693" w:type="dxa"/>
            <w:tcBorders>
              <w:bottom w:val="single" w:color="000000" w:sz="4" w:space="0"/>
            </w:tcBorders>
          </w:tcPr>
          <w:p>
            <w:pPr>
              <w:pStyle w:val="11"/>
              <w:spacing w:before="214"/>
              <w:ind w:right="270"/>
              <w:jc w:val="right"/>
              <w:rPr>
                <w:rFonts w:ascii="Times New Roman"/>
                <w:sz w:val="24"/>
              </w:rPr>
            </w:pPr>
            <w:r>
              <w:rPr>
                <w:rFonts w:ascii="Times New Roman"/>
                <w:sz w:val="24"/>
              </w:rPr>
              <w:t>8</w:t>
            </w:r>
          </w:p>
        </w:tc>
        <w:tc>
          <w:tcPr>
            <w:tcW w:w="3458" w:type="dxa"/>
            <w:tcBorders>
              <w:bottom w:val="single" w:color="000000" w:sz="4" w:space="0"/>
            </w:tcBorders>
          </w:tcPr>
          <w:p>
            <w:pPr>
              <w:pStyle w:val="11"/>
              <w:spacing w:before="42"/>
              <w:ind w:left="108"/>
              <w:rPr>
                <w:rFonts w:hint="eastAsia" w:ascii="仿宋" w:eastAsia="仿宋"/>
                <w:b/>
                <w:sz w:val="24"/>
              </w:rPr>
            </w:pPr>
            <w:r>
              <w:rPr>
                <w:rFonts w:hint="eastAsia" w:ascii="仿宋" w:eastAsia="仿宋"/>
                <w:b/>
                <w:sz w:val="24"/>
              </w:rPr>
              <w:t>中医医院设置治未病科室比例</w:t>
            </w:r>
          </w:p>
          <w:p>
            <w:pPr>
              <w:pStyle w:val="11"/>
              <w:spacing w:before="4"/>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Borders>
              <w:bottom w:val="single" w:color="000000" w:sz="4" w:space="0"/>
            </w:tcBorders>
          </w:tcPr>
          <w:p>
            <w:pPr>
              <w:pStyle w:val="11"/>
              <w:spacing w:before="214"/>
              <w:ind w:left="16"/>
              <w:jc w:val="center"/>
              <w:rPr>
                <w:rFonts w:ascii="Times New Roman" w:hAnsi="Times New Roman"/>
                <w:sz w:val="24"/>
              </w:rPr>
            </w:pPr>
            <w:r>
              <w:rPr>
                <w:rFonts w:ascii="Times New Roman" w:hAnsi="Times New Roman"/>
                <w:sz w:val="24"/>
              </w:rPr>
              <w:t>—</w:t>
            </w:r>
          </w:p>
        </w:tc>
        <w:tc>
          <w:tcPr>
            <w:tcW w:w="851" w:type="dxa"/>
            <w:tcBorders>
              <w:bottom w:val="single" w:color="000000" w:sz="4" w:space="0"/>
            </w:tcBorders>
          </w:tcPr>
          <w:p>
            <w:pPr>
              <w:pStyle w:val="11"/>
              <w:spacing w:before="214"/>
              <w:ind w:left="66" w:right="52"/>
              <w:jc w:val="center"/>
              <w:rPr>
                <w:rFonts w:ascii="Times New Roman"/>
                <w:sz w:val="24"/>
              </w:rPr>
            </w:pPr>
            <w:r>
              <w:rPr>
                <w:rFonts w:ascii="Times New Roman"/>
                <w:sz w:val="24"/>
              </w:rPr>
              <w:t>90</w:t>
            </w:r>
          </w:p>
        </w:tc>
        <w:tc>
          <w:tcPr>
            <w:tcW w:w="851" w:type="dxa"/>
            <w:tcBorders>
              <w:bottom w:val="single" w:color="000000" w:sz="4" w:space="0"/>
            </w:tcBorders>
          </w:tcPr>
          <w:p>
            <w:pPr>
              <w:pStyle w:val="11"/>
              <w:spacing w:before="214"/>
              <w:ind w:left="66" w:right="55"/>
              <w:jc w:val="center"/>
              <w:rPr>
                <w:rFonts w:ascii="Times New Roman"/>
                <w:sz w:val="24"/>
              </w:rPr>
            </w:pPr>
            <w:r>
              <w:rPr>
                <w:rFonts w:ascii="Times New Roman"/>
                <w:sz w:val="24"/>
              </w:rPr>
              <w:t>100</w:t>
            </w:r>
          </w:p>
        </w:tc>
        <w:tc>
          <w:tcPr>
            <w:tcW w:w="1050" w:type="dxa"/>
            <w:tcBorders>
              <w:bottom w:val="single" w:color="000000" w:sz="4" w:space="0"/>
            </w:tcBorders>
          </w:tcPr>
          <w:p>
            <w:pPr>
              <w:pStyle w:val="11"/>
              <w:spacing w:before="198"/>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trPr>
        <w:tc>
          <w:tcPr>
            <w:tcW w:w="695" w:type="dxa"/>
            <w:vMerge w:val="restart"/>
            <w:tcBorders>
              <w:top w:val="single" w:color="000000" w:sz="4" w:space="0"/>
              <w:left w:val="single" w:color="000000" w:sz="4" w:space="0"/>
              <w:bottom w:val="single" w:color="000000" w:sz="4" w:space="0"/>
              <w:right w:val="single" w:color="000000" w:sz="4" w:space="0"/>
            </w:tcBorders>
          </w:tcPr>
          <w:p>
            <w:pPr>
              <w:pStyle w:val="11"/>
              <w:rPr>
                <w:rFonts w:ascii="宋体"/>
                <w:b/>
                <w:sz w:val="24"/>
              </w:rPr>
            </w:pPr>
          </w:p>
          <w:p>
            <w:pPr>
              <w:pStyle w:val="11"/>
              <w:spacing w:before="166"/>
              <w:ind w:left="157"/>
              <w:rPr>
                <w:rFonts w:hint="eastAsia" w:ascii="黑体" w:eastAsia="黑体"/>
                <w:sz w:val="24"/>
              </w:rPr>
            </w:pPr>
            <w:r>
              <w:rPr>
                <w:rFonts w:hint="eastAsia" w:ascii="黑体" w:eastAsia="黑体"/>
                <w:w w:val="80"/>
                <w:sz w:val="24"/>
              </w:rPr>
              <w:t>（二</w:t>
            </w:r>
          </w:p>
          <w:p>
            <w:pPr>
              <w:pStyle w:val="11"/>
              <w:spacing w:before="4" w:line="242" w:lineRule="auto"/>
              <w:ind w:left="229" w:right="213" w:firstLine="24"/>
              <w:jc w:val="both"/>
              <w:rPr>
                <w:rFonts w:hint="eastAsia" w:ascii="黑体" w:eastAsia="黑体"/>
                <w:sz w:val="24"/>
              </w:rPr>
            </w:pPr>
            <w:r>
              <w:rPr>
                <w:rFonts w:hint="eastAsia" w:ascii="黑体" w:eastAsia="黑体"/>
                <w:w w:val="85"/>
                <w:sz w:val="24"/>
              </w:rPr>
              <w:t xml:space="preserve">） </w:t>
            </w:r>
            <w:r>
              <w:rPr>
                <w:rFonts w:hint="eastAsia" w:ascii="黑体" w:eastAsia="黑体"/>
                <w:sz w:val="24"/>
              </w:rPr>
              <w:t>合理膳食行动</w:t>
            </w:r>
          </w:p>
        </w:tc>
        <w:tc>
          <w:tcPr>
            <w:tcW w:w="8185" w:type="dxa"/>
            <w:gridSpan w:val="6"/>
            <w:tcBorders>
              <w:top w:val="single" w:color="000000" w:sz="4" w:space="0"/>
              <w:left w:val="single" w:color="000000" w:sz="4" w:space="0"/>
              <w:right w:val="single" w:color="000000" w:sz="4" w:space="0"/>
            </w:tcBorders>
          </w:tcPr>
          <w:p>
            <w:pPr>
              <w:pStyle w:val="11"/>
              <w:spacing w:before="51"/>
              <w:ind w:left="110"/>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5" w:hRule="atLeast"/>
        </w:trPr>
        <w:tc>
          <w:tcPr>
            <w:tcW w:w="695" w:type="dxa"/>
            <w:vMerge w:val="continue"/>
            <w:tcBorders>
              <w:top w:val="nil"/>
              <w:left w:val="single" w:color="000000" w:sz="4" w:space="0"/>
              <w:bottom w:val="single" w:color="000000" w:sz="4" w:space="0"/>
              <w:right w:val="single" w:color="000000" w:sz="4" w:space="0"/>
            </w:tcBorders>
          </w:tcPr>
          <w:p>
            <w:pPr>
              <w:rPr>
                <w:sz w:val="2"/>
                <w:szCs w:val="2"/>
              </w:rPr>
            </w:pPr>
          </w:p>
        </w:tc>
        <w:tc>
          <w:tcPr>
            <w:tcW w:w="693" w:type="dxa"/>
            <w:vMerge w:val="restart"/>
            <w:tcBorders>
              <w:top w:val="single" w:color="000000" w:sz="4" w:space="0"/>
              <w:left w:val="single" w:color="000000" w:sz="4" w:space="0"/>
              <w:bottom w:val="single" w:color="000000" w:sz="4" w:space="0"/>
              <w:right w:val="single" w:color="000000" w:sz="4" w:space="0"/>
            </w:tcBorders>
          </w:tcPr>
          <w:p>
            <w:pPr>
              <w:pStyle w:val="11"/>
              <w:rPr>
                <w:rFonts w:ascii="宋体"/>
                <w:b/>
                <w:sz w:val="26"/>
              </w:rPr>
            </w:pPr>
          </w:p>
          <w:p>
            <w:pPr>
              <w:pStyle w:val="11"/>
              <w:rPr>
                <w:rFonts w:ascii="宋体"/>
                <w:b/>
                <w:sz w:val="26"/>
              </w:rPr>
            </w:pPr>
          </w:p>
          <w:p>
            <w:pPr>
              <w:pStyle w:val="11"/>
              <w:spacing w:before="200"/>
              <w:ind w:left="12"/>
              <w:jc w:val="center"/>
              <w:rPr>
                <w:rFonts w:ascii="Times New Roman"/>
                <w:sz w:val="24"/>
              </w:rPr>
            </w:pPr>
            <w:r>
              <w:rPr>
                <w:rFonts w:ascii="Times New Roman"/>
                <w:sz w:val="24"/>
              </w:rPr>
              <w:t>9</w:t>
            </w:r>
          </w:p>
        </w:tc>
        <w:tc>
          <w:tcPr>
            <w:tcW w:w="3458" w:type="dxa"/>
            <w:tcBorders>
              <w:top w:val="single" w:color="000000" w:sz="4" w:space="0"/>
              <w:left w:val="single" w:color="000000" w:sz="4" w:space="0"/>
              <w:bottom w:val="single" w:color="000000" w:sz="4" w:space="0"/>
              <w:right w:val="single" w:color="000000" w:sz="4" w:space="0"/>
            </w:tcBorders>
          </w:tcPr>
          <w:p>
            <w:pPr>
              <w:pStyle w:val="11"/>
              <w:spacing w:before="9"/>
              <w:rPr>
                <w:rFonts w:ascii="宋体"/>
                <w:b/>
                <w:sz w:val="33"/>
              </w:rPr>
            </w:pPr>
          </w:p>
          <w:p>
            <w:pPr>
              <w:pStyle w:val="11"/>
              <w:spacing w:before="1"/>
              <w:ind w:left="110"/>
              <w:rPr>
                <w:rFonts w:hint="eastAsia" w:ascii="仿宋" w:eastAsia="仿宋"/>
                <w:b/>
                <w:sz w:val="24"/>
              </w:rPr>
            </w:pPr>
            <w:r>
              <w:rPr>
                <w:rFonts w:hint="eastAsia" w:ascii="仿宋" w:eastAsia="仿宋"/>
                <w:b/>
                <w:sz w:val="24"/>
              </w:rPr>
              <w:t>成人肥胖增长率（</w:t>
            </w:r>
            <w:r>
              <w:rPr>
                <w:rFonts w:ascii="Times New Roman" w:eastAsia="Times New Roman"/>
                <w:b/>
                <w:sz w:val="24"/>
              </w:rPr>
              <w:t>%</w:t>
            </w:r>
            <w:r>
              <w:rPr>
                <w:rFonts w:hint="eastAsia" w:ascii="仿宋" w:eastAsia="仿宋"/>
                <w:b/>
                <w:sz w:val="24"/>
              </w:rPr>
              <w:t>）</w:t>
            </w:r>
          </w:p>
        </w:tc>
        <w:tc>
          <w:tcPr>
            <w:tcW w:w="1282" w:type="dxa"/>
            <w:tcBorders>
              <w:left w:val="single" w:color="000000" w:sz="4" w:space="0"/>
            </w:tcBorders>
          </w:tcPr>
          <w:p>
            <w:pPr>
              <w:pStyle w:val="11"/>
              <w:ind w:left="92" w:right="97"/>
              <w:jc w:val="center"/>
              <w:rPr>
                <w:rFonts w:ascii="Times New Roman" w:hAnsi="Times New Roman"/>
                <w:sz w:val="24"/>
              </w:rPr>
            </w:pPr>
            <w:r>
              <w:rPr>
                <w:rFonts w:ascii="Times New Roman" w:hAnsi="Times New Roman"/>
                <w:spacing w:val="-19"/>
                <w:sz w:val="24"/>
              </w:rPr>
              <w:t>2002—2012</w:t>
            </w:r>
          </w:p>
          <w:p>
            <w:pPr>
              <w:pStyle w:val="11"/>
              <w:spacing w:line="242" w:lineRule="auto"/>
              <w:ind w:left="163" w:right="143"/>
              <w:jc w:val="center"/>
              <w:rPr>
                <w:rFonts w:hint="eastAsia" w:ascii="仿宋" w:eastAsia="仿宋"/>
                <w:sz w:val="24"/>
              </w:rPr>
            </w:pPr>
            <w:r>
              <w:rPr>
                <w:rFonts w:hint="eastAsia" w:ascii="仿宋" w:eastAsia="仿宋"/>
                <w:spacing w:val="-5"/>
                <w:sz w:val="24"/>
              </w:rPr>
              <w:t>年平均每年增长约</w:t>
            </w:r>
          </w:p>
          <w:p>
            <w:pPr>
              <w:pStyle w:val="11"/>
              <w:spacing w:line="257" w:lineRule="exact"/>
              <w:ind w:left="92" w:right="78"/>
              <w:jc w:val="center"/>
              <w:rPr>
                <w:rFonts w:ascii="Times New Roman"/>
                <w:sz w:val="24"/>
              </w:rPr>
            </w:pPr>
            <w:r>
              <w:rPr>
                <w:rFonts w:ascii="Times New Roman"/>
                <w:sz w:val="24"/>
              </w:rPr>
              <w:t>5.3%</w:t>
            </w:r>
          </w:p>
        </w:tc>
        <w:tc>
          <w:tcPr>
            <w:tcW w:w="1702" w:type="dxa"/>
            <w:gridSpan w:val="2"/>
          </w:tcPr>
          <w:p>
            <w:pPr>
              <w:pStyle w:val="11"/>
              <w:spacing w:before="9"/>
              <w:rPr>
                <w:rFonts w:ascii="宋体"/>
                <w:b/>
                <w:sz w:val="33"/>
              </w:rPr>
            </w:pPr>
          </w:p>
          <w:p>
            <w:pPr>
              <w:pStyle w:val="11"/>
              <w:spacing w:before="1"/>
              <w:ind w:left="369"/>
              <w:rPr>
                <w:rFonts w:hint="eastAsia" w:ascii="仿宋" w:eastAsia="仿宋"/>
                <w:sz w:val="24"/>
              </w:rPr>
            </w:pPr>
            <w:r>
              <w:rPr>
                <w:rFonts w:hint="eastAsia" w:ascii="仿宋" w:eastAsia="仿宋"/>
                <w:sz w:val="24"/>
              </w:rPr>
              <w:t>持续减缓</w:t>
            </w:r>
          </w:p>
        </w:tc>
        <w:tc>
          <w:tcPr>
            <w:tcW w:w="1050" w:type="dxa"/>
          </w:tcPr>
          <w:p>
            <w:pPr>
              <w:pStyle w:val="11"/>
              <w:spacing w:before="9"/>
              <w:rPr>
                <w:rFonts w:ascii="宋体"/>
                <w:b/>
                <w:sz w:val="33"/>
              </w:rPr>
            </w:pPr>
          </w:p>
          <w:p>
            <w:pPr>
              <w:pStyle w:val="11"/>
              <w:spacing w:before="1"/>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left w:val="single" w:color="000000" w:sz="4" w:space="0"/>
              <w:bottom w:val="single" w:color="000000" w:sz="4" w:space="0"/>
              <w:right w:val="single" w:color="000000" w:sz="4" w:space="0"/>
            </w:tcBorders>
          </w:tcPr>
          <w:p>
            <w:pPr>
              <w:rPr>
                <w:sz w:val="2"/>
                <w:szCs w:val="2"/>
              </w:rPr>
            </w:pPr>
          </w:p>
        </w:tc>
        <w:tc>
          <w:tcPr>
            <w:tcW w:w="693" w:type="dxa"/>
            <w:vMerge w:val="continue"/>
            <w:tcBorders>
              <w:top w:val="nil"/>
              <w:left w:val="single" w:color="000000" w:sz="4" w:space="0"/>
              <w:bottom w:val="single" w:color="000000" w:sz="4" w:space="0"/>
              <w:right w:val="single" w:color="000000" w:sz="4" w:space="0"/>
            </w:tcBorders>
          </w:tcPr>
          <w:p>
            <w:pPr>
              <w:rPr>
                <w:sz w:val="2"/>
                <w:szCs w:val="2"/>
              </w:rPr>
            </w:pPr>
          </w:p>
        </w:tc>
        <w:tc>
          <w:tcPr>
            <w:tcW w:w="7492" w:type="dxa"/>
            <w:gridSpan w:val="5"/>
            <w:tcBorders>
              <w:left w:val="single" w:color="000000" w:sz="4" w:space="0"/>
              <w:right w:val="single" w:color="000000" w:sz="4" w:space="0"/>
            </w:tcBorders>
          </w:tcPr>
          <w:p>
            <w:pPr>
              <w:pStyle w:val="11"/>
              <w:spacing w:line="242" w:lineRule="auto"/>
              <w:ind w:left="110" w:right="35"/>
              <w:rPr>
                <w:sz w:val="21"/>
              </w:rPr>
            </w:pPr>
            <w:r>
              <w:rPr>
                <w:sz w:val="21"/>
              </w:rPr>
              <w:t>说明：体重指数（</w:t>
            </w:r>
            <w:r>
              <w:rPr>
                <w:rFonts w:ascii="Times New Roman" w:hAnsi="Times New Roman" w:eastAsia="Times New Roman"/>
                <w:sz w:val="21"/>
              </w:rPr>
              <w:t>BMI</w:t>
            </w:r>
            <w:r>
              <w:rPr>
                <w:sz w:val="21"/>
              </w:rPr>
              <w:t>）为体重（</w:t>
            </w:r>
            <w:r>
              <w:rPr>
                <w:rFonts w:ascii="Times New Roman" w:hAnsi="Times New Roman" w:eastAsia="Times New Roman"/>
                <w:sz w:val="21"/>
              </w:rPr>
              <w:t>kg</w:t>
            </w:r>
            <w:r>
              <w:rPr>
                <w:sz w:val="21"/>
              </w:rPr>
              <w:t>）</w:t>
            </w:r>
            <w:r>
              <w:rPr>
                <w:rFonts w:ascii="Times New Roman" w:hAnsi="Times New Roman" w:eastAsia="Times New Roman"/>
                <w:sz w:val="21"/>
              </w:rPr>
              <w:t>/</w:t>
            </w:r>
            <w:r>
              <w:rPr>
                <w:sz w:val="21"/>
              </w:rPr>
              <w:t>身高的平方（</w:t>
            </w:r>
            <w:r>
              <w:rPr>
                <w:rFonts w:ascii="Times New Roman" w:hAnsi="Times New Roman" w:eastAsia="Times New Roman"/>
                <w:sz w:val="21"/>
              </w:rPr>
              <w:t>m</w:t>
            </w:r>
            <w:r>
              <w:rPr>
                <w:rFonts w:ascii="Times New Roman" w:hAnsi="Times New Roman" w:eastAsia="Times New Roman"/>
                <w:position w:val="7"/>
                <w:sz w:val="13"/>
              </w:rPr>
              <w:t>2</w:t>
            </w:r>
            <w:r>
              <w:rPr>
                <w:rFonts w:hint="eastAsia" w:ascii="宋体" w:hAnsi="宋体" w:eastAsia="宋体"/>
                <w:sz w:val="21"/>
              </w:rPr>
              <w:t>）</w:t>
            </w:r>
            <w:r>
              <w:rPr>
                <w:sz w:val="21"/>
              </w:rPr>
              <w:t>，按照中国成人体重判定标准，体重指数</w:t>
            </w:r>
            <w:r>
              <w:rPr>
                <w:rFonts w:ascii="Times New Roman" w:hAnsi="Times New Roman" w:eastAsia="Times New Roman"/>
                <w:sz w:val="21"/>
              </w:rPr>
              <w:t>≥28 kg/</w:t>
            </w:r>
            <w:r>
              <w:rPr>
                <w:rFonts w:hint="eastAsia" w:ascii="宋体" w:hAnsi="宋体" w:eastAsia="宋体"/>
                <w:sz w:val="21"/>
              </w:rPr>
              <w:t>㎡</w:t>
            </w:r>
            <w:r>
              <w:rPr>
                <w:sz w:val="21"/>
              </w:rPr>
              <w:t xml:space="preserve">即为肥胖。成人肥胖增长率是指 </w:t>
            </w:r>
            <w:r>
              <w:rPr>
                <w:rFonts w:ascii="Times New Roman" w:hAnsi="Times New Roman" w:eastAsia="Times New Roman"/>
                <w:sz w:val="21"/>
              </w:rPr>
              <w:t xml:space="preserve">18 </w:t>
            </w:r>
            <w:r>
              <w:rPr>
                <w:sz w:val="21"/>
              </w:rPr>
              <w:t>岁及以上居民</w:t>
            </w:r>
          </w:p>
          <w:p>
            <w:pPr>
              <w:pStyle w:val="11"/>
              <w:spacing w:before="1" w:line="252" w:lineRule="exact"/>
              <w:ind w:left="110" w:right="-15"/>
              <w:rPr>
                <w:sz w:val="21"/>
              </w:rPr>
            </w:pPr>
            <w:r>
              <w:rPr>
                <w:spacing w:val="-5"/>
                <w:sz w:val="21"/>
              </w:rPr>
              <w:t>肥胖率的年均增长速度。</w:t>
            </w:r>
            <w:r>
              <w:rPr>
                <w:rFonts w:ascii="Times New Roman" w:eastAsia="Times New Roman"/>
                <w:sz w:val="21"/>
              </w:rPr>
              <w:t>2012</w:t>
            </w:r>
            <w:r>
              <w:rPr>
                <w:rFonts w:ascii="Times New Roman" w:eastAsia="Times New Roman"/>
                <w:spacing w:val="-5"/>
                <w:sz w:val="21"/>
              </w:rPr>
              <w:t xml:space="preserve"> </w:t>
            </w:r>
            <w:r>
              <w:rPr>
                <w:spacing w:val="-18"/>
                <w:sz w:val="21"/>
              </w:rPr>
              <w:t xml:space="preserve">年与 </w:t>
            </w:r>
            <w:r>
              <w:rPr>
                <w:rFonts w:ascii="Times New Roman" w:eastAsia="Times New Roman"/>
                <w:sz w:val="21"/>
              </w:rPr>
              <w:t>2002</w:t>
            </w:r>
            <w:r>
              <w:rPr>
                <w:rFonts w:ascii="Times New Roman" w:eastAsia="Times New Roman"/>
                <w:spacing w:val="-7"/>
                <w:sz w:val="21"/>
              </w:rPr>
              <w:t xml:space="preserve"> </w:t>
            </w:r>
            <w:r>
              <w:rPr>
                <w:spacing w:val="-11"/>
                <w:sz w:val="21"/>
              </w:rPr>
              <w:t xml:space="preserve">年相比，我国成人肥胖率上升了 </w:t>
            </w:r>
            <w:r>
              <w:rPr>
                <w:rFonts w:ascii="Times New Roman" w:eastAsia="Times New Roman"/>
                <w:sz w:val="21"/>
              </w:rPr>
              <w:t>67.6%</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0" w:hRule="atLeast"/>
        </w:trPr>
        <w:tc>
          <w:tcPr>
            <w:tcW w:w="695" w:type="dxa"/>
            <w:vMerge w:val="continue"/>
            <w:tcBorders>
              <w:top w:val="nil"/>
              <w:left w:val="single" w:color="000000" w:sz="4" w:space="0"/>
              <w:bottom w:val="single" w:color="000000" w:sz="4" w:space="0"/>
              <w:right w:val="single" w:color="000000" w:sz="4" w:space="0"/>
            </w:tcBorders>
          </w:tcPr>
          <w:p>
            <w:pPr>
              <w:rPr>
                <w:sz w:val="2"/>
                <w:szCs w:val="2"/>
              </w:rPr>
            </w:pPr>
          </w:p>
        </w:tc>
        <w:tc>
          <w:tcPr>
            <w:tcW w:w="693" w:type="dxa"/>
            <w:tcBorders>
              <w:top w:val="single" w:color="000000" w:sz="4" w:space="0"/>
              <w:left w:val="single" w:color="000000" w:sz="4" w:space="0"/>
              <w:bottom w:val="single" w:color="000000" w:sz="4" w:space="0"/>
              <w:right w:val="single" w:color="000000" w:sz="4" w:space="0"/>
            </w:tcBorders>
          </w:tcPr>
          <w:p>
            <w:pPr>
              <w:pStyle w:val="11"/>
              <w:spacing w:before="171"/>
              <w:ind w:right="213"/>
              <w:jc w:val="right"/>
              <w:rPr>
                <w:rFonts w:ascii="Times New Roman"/>
                <w:sz w:val="24"/>
              </w:rPr>
            </w:pPr>
            <w:r>
              <w:rPr>
                <w:rFonts w:ascii="Times New Roman"/>
                <w:sz w:val="24"/>
              </w:rPr>
              <w:t>10</w:t>
            </w:r>
          </w:p>
        </w:tc>
        <w:tc>
          <w:tcPr>
            <w:tcW w:w="3458" w:type="dxa"/>
            <w:tcBorders>
              <w:top w:val="single" w:color="000000" w:sz="4" w:space="0"/>
              <w:left w:val="single" w:color="000000" w:sz="4" w:space="0"/>
              <w:bottom w:val="single" w:color="000000" w:sz="4" w:space="0"/>
              <w:right w:val="single" w:color="000000" w:sz="4" w:space="0"/>
            </w:tcBorders>
          </w:tcPr>
          <w:p>
            <w:pPr>
              <w:pStyle w:val="11"/>
              <w:spacing w:before="155"/>
              <w:ind w:left="110" w:right="-29"/>
              <w:rPr>
                <w:rFonts w:hint="eastAsia" w:ascii="仿宋" w:eastAsia="仿宋"/>
                <w:b/>
                <w:sz w:val="24"/>
              </w:rPr>
            </w:pPr>
            <w:r>
              <w:rPr>
                <w:rFonts w:hint="eastAsia" w:ascii="仿宋" w:eastAsia="仿宋"/>
                <w:b/>
                <w:spacing w:val="-1"/>
                <w:sz w:val="24"/>
              </w:rPr>
              <w:t>居民营养健康知识知晓率</w:t>
            </w:r>
            <w:r>
              <w:rPr>
                <w:rFonts w:hint="eastAsia" w:ascii="仿宋" w:eastAsia="仿宋"/>
                <w:b/>
                <w:spacing w:val="-4"/>
                <w:sz w:val="24"/>
              </w:rPr>
              <w:t>（</w:t>
            </w:r>
            <w:r>
              <w:rPr>
                <w:rFonts w:ascii="Times New Roman" w:eastAsia="Times New Roman"/>
                <w:b/>
                <w:spacing w:val="-4"/>
                <w:sz w:val="24"/>
              </w:rPr>
              <w:t>%</w:t>
            </w:r>
            <w:r>
              <w:rPr>
                <w:rFonts w:hint="eastAsia" w:ascii="仿宋" w:eastAsia="仿宋"/>
                <w:b/>
                <w:spacing w:val="-4"/>
                <w:sz w:val="24"/>
              </w:rPr>
              <w:t>）</w:t>
            </w:r>
          </w:p>
        </w:tc>
        <w:tc>
          <w:tcPr>
            <w:tcW w:w="1282" w:type="dxa"/>
            <w:tcBorders>
              <w:left w:val="single" w:color="000000" w:sz="4" w:space="0"/>
            </w:tcBorders>
          </w:tcPr>
          <w:p>
            <w:pPr>
              <w:pStyle w:val="11"/>
              <w:spacing w:before="171"/>
              <w:ind w:left="18"/>
              <w:jc w:val="center"/>
              <w:rPr>
                <w:rFonts w:ascii="Times New Roman" w:hAnsi="Times New Roman"/>
                <w:sz w:val="24"/>
              </w:rPr>
            </w:pPr>
            <w:r>
              <w:rPr>
                <w:rFonts w:ascii="Times New Roman" w:hAnsi="Times New Roman"/>
                <w:sz w:val="24"/>
              </w:rPr>
              <w:t>—</w:t>
            </w:r>
          </w:p>
        </w:tc>
        <w:tc>
          <w:tcPr>
            <w:tcW w:w="851" w:type="dxa"/>
          </w:tcPr>
          <w:p>
            <w:pPr>
              <w:pStyle w:val="11"/>
              <w:spacing w:before="2"/>
              <w:ind w:left="108"/>
              <w:rPr>
                <w:rFonts w:ascii="Times New Roman" w:eastAsia="Times New Roman"/>
                <w:sz w:val="24"/>
              </w:rPr>
            </w:pPr>
            <w:r>
              <w:rPr>
                <w:rFonts w:hint="eastAsia" w:ascii="仿宋" w:eastAsia="仿宋"/>
                <w:spacing w:val="24"/>
                <w:w w:val="85"/>
                <w:sz w:val="24"/>
              </w:rPr>
              <w:t>比</w:t>
            </w:r>
            <w:r>
              <w:rPr>
                <w:rFonts w:ascii="Times New Roman" w:eastAsia="Times New Roman"/>
                <w:spacing w:val="-5"/>
                <w:w w:val="85"/>
                <w:sz w:val="24"/>
              </w:rPr>
              <w:t>2019</w:t>
            </w:r>
          </w:p>
          <w:p>
            <w:pPr>
              <w:pStyle w:val="11"/>
              <w:spacing w:before="2" w:line="289" w:lineRule="exact"/>
              <w:ind w:left="108"/>
              <w:rPr>
                <w:rFonts w:hint="eastAsia" w:ascii="仿宋" w:eastAsia="仿宋"/>
                <w:sz w:val="24"/>
              </w:rPr>
            </w:pPr>
            <w:r>
              <w:rPr>
                <w:rFonts w:hint="eastAsia" w:ascii="仿宋" w:eastAsia="仿宋"/>
                <w:spacing w:val="-9"/>
                <w:w w:val="85"/>
                <w:sz w:val="24"/>
              </w:rPr>
              <w:t>年提高</w:t>
            </w:r>
          </w:p>
        </w:tc>
        <w:tc>
          <w:tcPr>
            <w:tcW w:w="851" w:type="dxa"/>
          </w:tcPr>
          <w:p>
            <w:pPr>
              <w:pStyle w:val="11"/>
              <w:spacing w:before="2"/>
              <w:ind w:left="106"/>
              <w:rPr>
                <w:rFonts w:ascii="Times New Roman" w:eastAsia="Times New Roman"/>
                <w:sz w:val="24"/>
              </w:rPr>
            </w:pPr>
            <w:r>
              <w:rPr>
                <w:rFonts w:hint="eastAsia" w:ascii="仿宋" w:eastAsia="仿宋"/>
                <w:spacing w:val="24"/>
                <w:w w:val="85"/>
                <w:sz w:val="24"/>
              </w:rPr>
              <w:t>比</w:t>
            </w:r>
            <w:r>
              <w:rPr>
                <w:rFonts w:ascii="Times New Roman" w:eastAsia="Times New Roman"/>
                <w:spacing w:val="-5"/>
                <w:w w:val="85"/>
                <w:sz w:val="24"/>
              </w:rPr>
              <w:t>2022</w:t>
            </w:r>
          </w:p>
          <w:p>
            <w:pPr>
              <w:pStyle w:val="11"/>
              <w:spacing w:before="2" w:line="289" w:lineRule="exact"/>
              <w:ind w:left="109"/>
              <w:rPr>
                <w:rFonts w:hint="eastAsia" w:ascii="仿宋" w:eastAsia="仿宋"/>
                <w:sz w:val="24"/>
              </w:rPr>
            </w:pPr>
            <w:r>
              <w:rPr>
                <w:rFonts w:hint="eastAsia" w:ascii="仿宋" w:eastAsia="仿宋"/>
                <w:spacing w:val="-3"/>
                <w:w w:val="85"/>
                <w:sz w:val="24"/>
              </w:rPr>
              <w:t>年提高</w:t>
            </w:r>
          </w:p>
        </w:tc>
        <w:tc>
          <w:tcPr>
            <w:tcW w:w="1050" w:type="dxa"/>
          </w:tcPr>
          <w:p>
            <w:pPr>
              <w:pStyle w:val="11"/>
              <w:spacing w:before="155"/>
              <w:ind w:left="165"/>
              <w:rPr>
                <w:rFonts w:hint="eastAsia" w:ascii="仿宋" w:eastAsia="仿宋"/>
                <w:sz w:val="24"/>
              </w:rPr>
            </w:pPr>
            <w:r>
              <w:rPr>
                <w:rFonts w:hint="eastAsia" w:ascii="仿宋" w:eastAsia="仿宋"/>
                <w:sz w:val="24"/>
              </w:rPr>
              <w:t>预期性</w:t>
            </w:r>
          </w:p>
        </w:tc>
      </w:tr>
    </w:tbl>
    <w:p>
      <w:pPr>
        <w:spacing w:after="0"/>
        <w:rPr>
          <w:rFonts w:hint="eastAsia" w:ascii="仿宋" w:eastAsia="仿宋"/>
          <w:sz w:val="24"/>
        </w:rPr>
        <w:sectPr>
          <w:pgSz w:w="11910" w:h="16840"/>
          <w:pgMar w:top="1540" w:right="1140" w:bottom="1380" w:left="1400" w:header="0" w:footer="1171" w:gutter="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2"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3"/>
              <w:rPr>
                <w:rFonts w:ascii="宋体"/>
                <w:b/>
                <w:sz w:val="25"/>
              </w:rPr>
            </w:pPr>
          </w:p>
          <w:p>
            <w:pPr>
              <w:pStyle w:val="11"/>
              <w:spacing w:before="1" w:line="242" w:lineRule="auto"/>
              <w:ind w:left="226" w:right="10" w:hanging="120"/>
              <w:rPr>
                <w:rFonts w:hint="eastAsia" w:ascii="黑体" w:eastAsia="黑体"/>
                <w:sz w:val="24"/>
              </w:rPr>
            </w:pPr>
            <w:r>
              <w:rPr>
                <w:rFonts w:hint="eastAsia" w:ascii="黑体" w:eastAsia="黑体"/>
                <w:w w:val="85"/>
                <w:sz w:val="21"/>
              </w:rPr>
              <w:t xml:space="preserve">（二） </w:t>
            </w:r>
            <w:r>
              <w:rPr>
                <w:rFonts w:hint="eastAsia" w:ascii="黑体" w:eastAsia="黑体"/>
                <w:sz w:val="24"/>
              </w:rPr>
              <w:t>合理膳食行动</w:t>
            </w:r>
          </w:p>
        </w:tc>
        <w:tc>
          <w:tcPr>
            <w:tcW w:w="693" w:type="dxa"/>
            <w:vMerge w:val="restart"/>
            <w:tcBorders>
              <w:left w:val="single" w:color="000000" w:sz="4" w:space="0"/>
              <w:bottom w:val="single" w:color="000000" w:sz="4" w:space="0"/>
              <w:right w:val="single" w:color="000000" w:sz="4" w:space="0"/>
            </w:tcBorders>
          </w:tcPr>
          <w:p>
            <w:pPr>
              <w:pStyle w:val="11"/>
              <w:rPr>
                <w:rFonts w:ascii="Times New Roman"/>
                <w:sz w:val="22"/>
              </w:rPr>
            </w:pPr>
          </w:p>
        </w:tc>
        <w:tc>
          <w:tcPr>
            <w:tcW w:w="3458" w:type="dxa"/>
            <w:tcBorders>
              <w:left w:val="single" w:color="000000" w:sz="4" w:space="0"/>
              <w:bottom w:val="single" w:color="000000" w:sz="4" w:space="0"/>
              <w:right w:val="single" w:color="000000" w:sz="4" w:space="0"/>
            </w:tcBorders>
          </w:tcPr>
          <w:p>
            <w:pPr>
              <w:pStyle w:val="11"/>
              <w:rPr>
                <w:rFonts w:ascii="Times New Roman"/>
                <w:sz w:val="22"/>
              </w:rPr>
            </w:pPr>
          </w:p>
        </w:tc>
        <w:tc>
          <w:tcPr>
            <w:tcW w:w="1282" w:type="dxa"/>
            <w:tcBorders>
              <w:left w:val="single" w:color="000000" w:sz="4" w:space="0"/>
            </w:tcBorders>
          </w:tcPr>
          <w:p>
            <w:pPr>
              <w:pStyle w:val="11"/>
              <w:rPr>
                <w:rFonts w:ascii="Times New Roman"/>
                <w:sz w:val="22"/>
              </w:rPr>
            </w:pPr>
          </w:p>
        </w:tc>
        <w:tc>
          <w:tcPr>
            <w:tcW w:w="851" w:type="dxa"/>
          </w:tcPr>
          <w:p>
            <w:pPr>
              <w:pStyle w:val="11"/>
              <w:spacing w:before="1"/>
              <w:ind w:right="213"/>
              <w:jc w:val="right"/>
              <w:rPr>
                <w:rFonts w:ascii="Times New Roman"/>
                <w:sz w:val="24"/>
              </w:rPr>
            </w:pPr>
            <w:r>
              <w:rPr>
                <w:rFonts w:ascii="Times New Roman"/>
                <w:w w:val="85"/>
                <w:sz w:val="24"/>
              </w:rPr>
              <w:t>10%</w:t>
            </w:r>
          </w:p>
        </w:tc>
        <w:tc>
          <w:tcPr>
            <w:tcW w:w="851" w:type="dxa"/>
          </w:tcPr>
          <w:p>
            <w:pPr>
              <w:pStyle w:val="11"/>
              <w:spacing w:before="1"/>
              <w:ind w:left="226"/>
              <w:rPr>
                <w:rFonts w:ascii="Times New Roman"/>
                <w:sz w:val="24"/>
              </w:rPr>
            </w:pPr>
            <w:r>
              <w:rPr>
                <w:rFonts w:ascii="Times New Roman"/>
                <w:sz w:val="24"/>
              </w:rPr>
              <w:t>10%</w:t>
            </w:r>
          </w:p>
        </w:tc>
        <w:tc>
          <w:tcPr>
            <w:tcW w:w="1050"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695" w:type="dxa"/>
            <w:vMerge w:val="continue"/>
            <w:tcBorders>
              <w:top w:val="nil"/>
            </w:tcBorders>
          </w:tcPr>
          <w:p>
            <w:pPr>
              <w:rPr>
                <w:sz w:val="2"/>
                <w:szCs w:val="2"/>
              </w:rPr>
            </w:pPr>
          </w:p>
        </w:tc>
        <w:tc>
          <w:tcPr>
            <w:tcW w:w="693" w:type="dxa"/>
            <w:vMerge w:val="continue"/>
            <w:tcBorders>
              <w:top w:val="nil"/>
              <w:left w:val="single" w:color="000000" w:sz="4" w:space="0"/>
              <w:bottom w:val="single" w:color="000000" w:sz="4" w:space="0"/>
              <w:right w:val="single" w:color="000000" w:sz="4" w:space="0"/>
            </w:tcBorders>
          </w:tcPr>
          <w:p>
            <w:pPr>
              <w:rPr>
                <w:sz w:val="2"/>
                <w:szCs w:val="2"/>
              </w:rPr>
            </w:pPr>
          </w:p>
        </w:tc>
        <w:tc>
          <w:tcPr>
            <w:tcW w:w="7492" w:type="dxa"/>
            <w:gridSpan w:val="5"/>
            <w:tcBorders>
              <w:left w:val="single" w:color="000000" w:sz="4" w:space="0"/>
              <w:right w:val="single" w:color="000000" w:sz="4" w:space="0"/>
            </w:tcBorders>
          </w:tcPr>
          <w:p>
            <w:pPr>
              <w:pStyle w:val="11"/>
              <w:spacing w:before="52"/>
              <w:ind w:left="110"/>
              <w:rPr>
                <w:sz w:val="21"/>
              </w:rPr>
            </w:pPr>
            <w:r>
              <w:rPr>
                <w:sz w:val="21"/>
              </w:rPr>
              <w:t>计算方法：具备基本营养健康知识的人数</w:t>
            </w:r>
            <w:r>
              <w:rPr>
                <w:rFonts w:ascii="Times New Roman" w:hAnsi="Times New Roman" w:eastAsia="Times New Roman"/>
                <w:sz w:val="21"/>
              </w:rPr>
              <w:t>/</w:t>
            </w:r>
            <w:r>
              <w:rPr>
                <w:sz w:val="21"/>
              </w:rPr>
              <w:t>监测人群总人数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Borders>
              <w:top w:val="single" w:color="000000" w:sz="4" w:space="0"/>
              <w:left w:val="single" w:color="000000" w:sz="4" w:space="0"/>
              <w:bottom w:val="single" w:color="000000" w:sz="4" w:space="0"/>
              <w:right w:val="single" w:color="000000" w:sz="4" w:space="0"/>
            </w:tcBorders>
          </w:tcPr>
          <w:p>
            <w:pPr>
              <w:pStyle w:val="11"/>
              <w:rPr>
                <w:rFonts w:ascii="宋体"/>
                <w:b/>
                <w:sz w:val="26"/>
              </w:rPr>
            </w:pPr>
          </w:p>
          <w:p>
            <w:pPr>
              <w:pStyle w:val="11"/>
              <w:spacing w:before="197"/>
              <w:ind w:left="227"/>
              <w:rPr>
                <w:rFonts w:ascii="Times New Roman"/>
                <w:sz w:val="24"/>
              </w:rPr>
            </w:pPr>
            <w:r>
              <w:rPr>
                <w:rFonts w:ascii="Times New Roman"/>
                <w:sz w:val="24"/>
              </w:rPr>
              <w:t>11</w:t>
            </w:r>
          </w:p>
        </w:tc>
        <w:tc>
          <w:tcPr>
            <w:tcW w:w="3458" w:type="dxa"/>
            <w:tcBorders>
              <w:top w:val="single" w:color="000000" w:sz="4" w:space="0"/>
              <w:left w:val="single" w:color="000000" w:sz="4" w:space="0"/>
              <w:bottom w:val="single" w:color="000000" w:sz="4" w:space="0"/>
              <w:right w:val="single" w:color="000000" w:sz="4" w:space="0"/>
            </w:tcBorders>
          </w:tcPr>
          <w:p>
            <w:pPr>
              <w:pStyle w:val="11"/>
              <w:spacing w:before="140"/>
              <w:ind w:left="110"/>
              <w:rPr>
                <w:rFonts w:hint="eastAsia" w:ascii="仿宋" w:eastAsia="仿宋"/>
                <w:b/>
                <w:sz w:val="24"/>
              </w:rPr>
            </w:pPr>
            <w:r>
              <w:rPr>
                <w:rFonts w:hint="eastAsia" w:ascii="仿宋" w:eastAsia="仿宋"/>
                <w:b/>
                <w:sz w:val="24"/>
              </w:rPr>
              <w:t>孕妇贫血率（</w:t>
            </w:r>
            <w:r>
              <w:rPr>
                <w:rFonts w:ascii="Times New Roman" w:eastAsia="Times New Roman"/>
                <w:b/>
                <w:sz w:val="24"/>
              </w:rPr>
              <w:t>%</w:t>
            </w:r>
            <w:r>
              <w:rPr>
                <w:rFonts w:hint="eastAsia" w:ascii="仿宋" w:eastAsia="仿宋"/>
                <w:b/>
                <w:sz w:val="24"/>
              </w:rPr>
              <w:t>）</w:t>
            </w:r>
          </w:p>
        </w:tc>
        <w:tc>
          <w:tcPr>
            <w:tcW w:w="1282" w:type="dxa"/>
            <w:tcBorders>
              <w:left w:val="single" w:color="000000" w:sz="4" w:space="0"/>
            </w:tcBorders>
          </w:tcPr>
          <w:p>
            <w:pPr>
              <w:pStyle w:val="11"/>
              <w:spacing w:before="1"/>
              <w:ind w:left="77" w:right="102"/>
              <w:jc w:val="center"/>
              <w:rPr>
                <w:rFonts w:hint="eastAsia" w:ascii="仿宋" w:eastAsia="仿宋"/>
                <w:sz w:val="24"/>
              </w:rPr>
            </w:pPr>
            <w:r>
              <w:rPr>
                <w:rFonts w:ascii="Times New Roman" w:eastAsia="Times New Roman"/>
                <w:sz w:val="24"/>
              </w:rPr>
              <w:t xml:space="preserve">2013 </w:t>
            </w:r>
            <w:r>
              <w:rPr>
                <w:rFonts w:hint="eastAsia" w:ascii="仿宋" w:eastAsia="仿宋"/>
                <w:sz w:val="24"/>
              </w:rPr>
              <w:t>年为</w:t>
            </w:r>
          </w:p>
          <w:p>
            <w:pPr>
              <w:pStyle w:val="11"/>
              <w:spacing w:before="3" w:line="256" w:lineRule="exact"/>
              <w:ind w:left="92" w:right="76"/>
              <w:jc w:val="center"/>
              <w:rPr>
                <w:rFonts w:ascii="Times New Roman"/>
                <w:sz w:val="24"/>
              </w:rPr>
            </w:pPr>
            <w:r>
              <w:rPr>
                <w:rFonts w:ascii="Times New Roman"/>
                <w:sz w:val="24"/>
              </w:rPr>
              <w:t>17.2</w:t>
            </w:r>
          </w:p>
        </w:tc>
        <w:tc>
          <w:tcPr>
            <w:tcW w:w="851" w:type="dxa"/>
          </w:tcPr>
          <w:p>
            <w:pPr>
              <w:pStyle w:val="11"/>
              <w:spacing w:before="156"/>
              <w:ind w:right="221"/>
              <w:jc w:val="right"/>
              <w:rPr>
                <w:rFonts w:ascii="Times New Roman"/>
                <w:sz w:val="24"/>
              </w:rPr>
            </w:pPr>
            <w:r>
              <w:rPr>
                <w:rFonts w:ascii="Times New Roman"/>
                <w:sz w:val="24"/>
              </w:rPr>
              <w:t>&lt;14</w:t>
            </w:r>
          </w:p>
        </w:tc>
        <w:tc>
          <w:tcPr>
            <w:tcW w:w="851" w:type="dxa"/>
          </w:tcPr>
          <w:p>
            <w:pPr>
              <w:pStyle w:val="11"/>
              <w:spacing w:before="156"/>
              <w:ind w:left="236"/>
              <w:rPr>
                <w:rFonts w:ascii="Times New Roman"/>
                <w:sz w:val="24"/>
              </w:rPr>
            </w:pPr>
            <w:r>
              <w:rPr>
                <w:rFonts w:ascii="Times New Roman"/>
                <w:sz w:val="24"/>
              </w:rPr>
              <w:t>&lt;10</w:t>
            </w:r>
          </w:p>
        </w:tc>
        <w:tc>
          <w:tcPr>
            <w:tcW w:w="1050" w:type="dxa"/>
          </w:tcPr>
          <w:p>
            <w:pPr>
              <w:pStyle w:val="11"/>
              <w:spacing w:before="140"/>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37" w:hRule="atLeast"/>
        </w:trPr>
        <w:tc>
          <w:tcPr>
            <w:tcW w:w="695" w:type="dxa"/>
            <w:vMerge w:val="continue"/>
            <w:tcBorders>
              <w:top w:val="nil"/>
            </w:tcBorders>
          </w:tcPr>
          <w:p>
            <w:pPr>
              <w:rPr>
                <w:sz w:val="2"/>
                <w:szCs w:val="2"/>
              </w:rPr>
            </w:pPr>
          </w:p>
        </w:tc>
        <w:tc>
          <w:tcPr>
            <w:tcW w:w="693" w:type="dxa"/>
            <w:vMerge w:val="continue"/>
            <w:tcBorders>
              <w:top w:val="nil"/>
              <w:left w:val="single" w:color="000000" w:sz="4" w:space="0"/>
              <w:bottom w:val="single" w:color="000000" w:sz="4" w:space="0"/>
              <w:right w:val="single" w:color="000000" w:sz="4" w:space="0"/>
            </w:tcBorders>
          </w:tcPr>
          <w:p>
            <w:pPr>
              <w:rPr>
                <w:sz w:val="2"/>
                <w:szCs w:val="2"/>
              </w:rPr>
            </w:pPr>
          </w:p>
        </w:tc>
        <w:tc>
          <w:tcPr>
            <w:tcW w:w="7492" w:type="dxa"/>
            <w:gridSpan w:val="5"/>
            <w:tcBorders>
              <w:left w:val="single" w:color="000000" w:sz="4" w:space="0"/>
              <w:right w:val="single" w:color="000000" w:sz="4" w:space="0"/>
            </w:tcBorders>
          </w:tcPr>
          <w:p>
            <w:pPr>
              <w:pStyle w:val="11"/>
              <w:spacing w:before="95" w:line="244" w:lineRule="auto"/>
              <w:ind w:left="110" w:right="-15"/>
              <w:rPr>
                <w:sz w:val="21"/>
              </w:rPr>
            </w:pPr>
            <w:r>
              <w:rPr>
                <w:sz w:val="21"/>
              </w:rPr>
              <w:t>说明：孕妇血红蛋白＜</w:t>
            </w:r>
            <w:r>
              <w:rPr>
                <w:rFonts w:ascii="Times New Roman" w:hAnsi="Times New Roman" w:eastAsia="Times New Roman"/>
                <w:sz w:val="21"/>
              </w:rPr>
              <w:t>110g/L</w:t>
            </w:r>
            <w:r>
              <w:rPr>
                <w:rFonts w:ascii="Times New Roman" w:hAnsi="Times New Roman" w:eastAsia="Times New Roman"/>
                <w:spacing w:val="-14"/>
                <w:sz w:val="21"/>
              </w:rPr>
              <w:t xml:space="preserve"> </w:t>
            </w:r>
            <w:r>
              <w:rPr>
                <w:sz w:val="21"/>
              </w:rPr>
              <w:t>诊断为贫血，此指标是衡量营养状况的重要指标。计算方法：监测孕妇贫血人数</w:t>
            </w:r>
            <w:r>
              <w:rPr>
                <w:rFonts w:ascii="Times New Roman" w:hAnsi="Times New Roman" w:eastAsia="Times New Roman"/>
                <w:sz w:val="21"/>
              </w:rPr>
              <w:t>/</w:t>
            </w:r>
            <w:r>
              <w:rPr>
                <w:sz w:val="21"/>
              </w:rPr>
              <w:t>监测孕妇总人数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6" w:hRule="atLeast"/>
        </w:trPr>
        <w:tc>
          <w:tcPr>
            <w:tcW w:w="695" w:type="dxa"/>
            <w:vMerge w:val="continue"/>
            <w:tcBorders>
              <w:top w:val="nil"/>
            </w:tcBorders>
          </w:tcPr>
          <w:p>
            <w:pPr>
              <w:rPr>
                <w:sz w:val="2"/>
                <w:szCs w:val="2"/>
              </w:rPr>
            </w:pPr>
          </w:p>
        </w:tc>
        <w:tc>
          <w:tcPr>
            <w:tcW w:w="693" w:type="dxa"/>
            <w:vMerge w:val="restart"/>
            <w:tcBorders>
              <w:top w:val="single" w:color="000000" w:sz="4" w:space="0"/>
              <w:left w:val="single" w:color="000000" w:sz="4" w:space="0"/>
              <w:bottom w:val="single" w:color="000000" w:sz="4" w:space="0"/>
              <w:right w:val="single" w:color="000000" w:sz="4" w:space="0"/>
            </w:tcBorders>
          </w:tcPr>
          <w:p>
            <w:pPr>
              <w:pStyle w:val="11"/>
              <w:rPr>
                <w:rFonts w:ascii="宋体"/>
                <w:b/>
                <w:sz w:val="26"/>
              </w:rPr>
            </w:pPr>
          </w:p>
          <w:p>
            <w:pPr>
              <w:pStyle w:val="11"/>
              <w:spacing w:before="9"/>
              <w:rPr>
                <w:rFonts w:ascii="宋体"/>
                <w:b/>
                <w:sz w:val="23"/>
              </w:rPr>
            </w:pPr>
          </w:p>
          <w:p>
            <w:pPr>
              <w:pStyle w:val="11"/>
              <w:ind w:left="227"/>
              <w:rPr>
                <w:rFonts w:ascii="Times New Roman"/>
                <w:sz w:val="24"/>
              </w:rPr>
            </w:pPr>
            <w:r>
              <w:rPr>
                <w:rFonts w:ascii="Times New Roman"/>
                <w:sz w:val="24"/>
              </w:rPr>
              <w:t>12</w:t>
            </w:r>
          </w:p>
        </w:tc>
        <w:tc>
          <w:tcPr>
            <w:tcW w:w="3458" w:type="dxa"/>
            <w:tcBorders>
              <w:top w:val="single" w:color="000000" w:sz="4" w:space="0"/>
              <w:left w:val="single" w:color="000000" w:sz="4" w:space="0"/>
              <w:bottom w:val="single" w:color="000000" w:sz="4" w:space="0"/>
              <w:right w:val="single" w:color="000000" w:sz="4" w:space="0"/>
            </w:tcBorders>
          </w:tcPr>
          <w:p>
            <w:pPr>
              <w:pStyle w:val="11"/>
              <w:spacing w:before="139"/>
              <w:ind w:left="110"/>
              <w:rPr>
                <w:rFonts w:hint="eastAsia" w:ascii="仿宋" w:eastAsia="仿宋"/>
                <w:b/>
                <w:sz w:val="24"/>
              </w:rPr>
            </w:pPr>
            <w:r>
              <w:rPr>
                <w:rFonts w:ascii="Times New Roman" w:eastAsia="Times New Roman"/>
                <w:b/>
                <w:sz w:val="24"/>
              </w:rPr>
              <w:t xml:space="preserve">5 </w:t>
            </w:r>
            <w:r>
              <w:rPr>
                <w:rFonts w:hint="eastAsia" w:ascii="仿宋" w:eastAsia="仿宋"/>
                <w:b/>
                <w:sz w:val="24"/>
              </w:rPr>
              <w:t>岁以下儿童生长迟缓率（</w:t>
            </w:r>
            <w:r>
              <w:rPr>
                <w:rFonts w:ascii="Times New Roman" w:eastAsia="Times New Roman"/>
                <w:b/>
                <w:sz w:val="24"/>
              </w:rPr>
              <w:t>%</w:t>
            </w:r>
            <w:r>
              <w:rPr>
                <w:rFonts w:hint="eastAsia" w:ascii="仿宋" w:eastAsia="仿宋"/>
                <w:b/>
                <w:sz w:val="24"/>
              </w:rPr>
              <w:t>）</w:t>
            </w:r>
          </w:p>
        </w:tc>
        <w:tc>
          <w:tcPr>
            <w:tcW w:w="1282" w:type="dxa"/>
            <w:tcBorders>
              <w:left w:val="single" w:color="000000" w:sz="4" w:space="0"/>
            </w:tcBorders>
          </w:tcPr>
          <w:p>
            <w:pPr>
              <w:pStyle w:val="11"/>
              <w:spacing w:before="2"/>
              <w:ind w:left="77" w:right="102"/>
              <w:jc w:val="center"/>
              <w:rPr>
                <w:rFonts w:hint="eastAsia" w:ascii="仿宋" w:eastAsia="仿宋"/>
                <w:sz w:val="24"/>
              </w:rPr>
            </w:pPr>
            <w:r>
              <w:rPr>
                <w:rFonts w:ascii="Times New Roman" w:eastAsia="Times New Roman"/>
                <w:sz w:val="24"/>
              </w:rPr>
              <w:t xml:space="preserve">2013 </w:t>
            </w:r>
            <w:r>
              <w:rPr>
                <w:rFonts w:hint="eastAsia" w:ascii="仿宋" w:eastAsia="仿宋"/>
                <w:sz w:val="24"/>
              </w:rPr>
              <w:t>年为</w:t>
            </w:r>
          </w:p>
          <w:p>
            <w:pPr>
              <w:pStyle w:val="11"/>
              <w:spacing w:before="1" w:line="256" w:lineRule="exact"/>
              <w:ind w:left="92" w:right="76"/>
              <w:jc w:val="center"/>
              <w:rPr>
                <w:rFonts w:ascii="Times New Roman"/>
                <w:sz w:val="24"/>
              </w:rPr>
            </w:pPr>
            <w:r>
              <w:rPr>
                <w:rFonts w:ascii="Times New Roman"/>
                <w:sz w:val="24"/>
              </w:rPr>
              <w:t>8.1</w:t>
            </w:r>
          </w:p>
        </w:tc>
        <w:tc>
          <w:tcPr>
            <w:tcW w:w="851" w:type="dxa"/>
          </w:tcPr>
          <w:p>
            <w:pPr>
              <w:pStyle w:val="11"/>
              <w:spacing w:before="155"/>
              <w:ind w:left="66" w:right="52"/>
              <w:jc w:val="center"/>
              <w:rPr>
                <w:rFonts w:ascii="Times New Roman"/>
                <w:sz w:val="24"/>
              </w:rPr>
            </w:pPr>
            <w:r>
              <w:rPr>
                <w:rFonts w:ascii="Times New Roman"/>
                <w:sz w:val="24"/>
              </w:rPr>
              <w:t>&lt;7</w:t>
            </w:r>
          </w:p>
        </w:tc>
        <w:tc>
          <w:tcPr>
            <w:tcW w:w="851" w:type="dxa"/>
          </w:tcPr>
          <w:p>
            <w:pPr>
              <w:pStyle w:val="11"/>
              <w:spacing w:before="155"/>
              <w:ind w:left="296"/>
              <w:rPr>
                <w:rFonts w:ascii="Times New Roman"/>
                <w:sz w:val="24"/>
              </w:rPr>
            </w:pPr>
            <w:r>
              <w:rPr>
                <w:rFonts w:ascii="Times New Roman"/>
                <w:sz w:val="24"/>
              </w:rPr>
              <w:t>&lt;5</w:t>
            </w:r>
          </w:p>
        </w:tc>
        <w:tc>
          <w:tcPr>
            <w:tcW w:w="1050" w:type="dxa"/>
          </w:tcPr>
          <w:p>
            <w:pPr>
              <w:pStyle w:val="11"/>
              <w:spacing w:before="139"/>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50" w:hRule="atLeast"/>
        </w:trPr>
        <w:tc>
          <w:tcPr>
            <w:tcW w:w="695" w:type="dxa"/>
            <w:vMerge w:val="continue"/>
            <w:tcBorders>
              <w:top w:val="nil"/>
            </w:tcBorders>
          </w:tcPr>
          <w:p>
            <w:pPr>
              <w:rPr>
                <w:sz w:val="2"/>
                <w:szCs w:val="2"/>
              </w:rPr>
            </w:pPr>
          </w:p>
        </w:tc>
        <w:tc>
          <w:tcPr>
            <w:tcW w:w="693" w:type="dxa"/>
            <w:vMerge w:val="continue"/>
            <w:tcBorders>
              <w:top w:val="nil"/>
              <w:left w:val="single" w:color="000000" w:sz="4" w:space="0"/>
              <w:bottom w:val="single" w:color="000000" w:sz="4" w:space="0"/>
              <w:right w:val="single" w:color="000000" w:sz="4" w:space="0"/>
            </w:tcBorders>
          </w:tcPr>
          <w:p>
            <w:pPr>
              <w:rPr>
                <w:sz w:val="2"/>
                <w:szCs w:val="2"/>
              </w:rPr>
            </w:pPr>
          </w:p>
        </w:tc>
        <w:tc>
          <w:tcPr>
            <w:tcW w:w="7492" w:type="dxa"/>
            <w:gridSpan w:val="5"/>
            <w:tcBorders>
              <w:left w:val="single" w:color="000000" w:sz="4" w:space="0"/>
              <w:bottom w:val="single" w:color="000000" w:sz="4" w:space="0"/>
              <w:right w:val="single" w:color="000000" w:sz="4" w:space="0"/>
            </w:tcBorders>
          </w:tcPr>
          <w:p>
            <w:pPr>
              <w:pStyle w:val="11"/>
              <w:spacing w:before="66"/>
              <w:ind w:left="110"/>
              <w:rPr>
                <w:sz w:val="21"/>
              </w:rPr>
            </w:pPr>
            <w:r>
              <w:rPr>
                <w:sz w:val="21"/>
              </w:rPr>
              <w:t>说明：儿童生长迟缓是指儿童年龄别身高低于标准身高中位数两个标准差。</w:t>
            </w:r>
          </w:p>
          <w:p>
            <w:pPr>
              <w:pStyle w:val="11"/>
              <w:spacing w:before="4" w:line="242" w:lineRule="auto"/>
              <w:ind w:left="110" w:right="33"/>
              <w:rPr>
                <w:sz w:val="21"/>
              </w:rPr>
            </w:pPr>
            <w:r>
              <w:rPr>
                <w:sz w:val="21"/>
              </w:rPr>
              <w:t xml:space="preserve">计算方法：某地区当年 </w:t>
            </w:r>
            <w:r>
              <w:rPr>
                <w:rFonts w:ascii="Times New Roman" w:hAnsi="Times New Roman" w:eastAsia="Times New Roman"/>
                <w:sz w:val="21"/>
              </w:rPr>
              <w:t xml:space="preserve">5 </w:t>
            </w:r>
            <w:r>
              <w:rPr>
                <w:sz w:val="21"/>
              </w:rPr>
              <w:t>岁以下儿童年龄别身高</w:t>
            </w:r>
            <w:r>
              <w:rPr>
                <w:rFonts w:ascii="Times New Roman" w:hAnsi="Times New Roman" w:eastAsia="Times New Roman"/>
                <w:sz w:val="21"/>
              </w:rPr>
              <w:t>&lt;</w:t>
            </w:r>
            <w:r>
              <w:rPr>
                <w:sz w:val="21"/>
              </w:rPr>
              <w:t>（中位数</w:t>
            </w:r>
            <w:r>
              <w:rPr>
                <w:rFonts w:hint="eastAsia" w:ascii="宋体" w:hAnsi="宋体" w:eastAsia="宋体"/>
                <w:sz w:val="21"/>
              </w:rPr>
              <w:t>﹣</w:t>
            </w:r>
            <w:r>
              <w:rPr>
                <w:rFonts w:ascii="Times New Roman" w:hAnsi="Times New Roman" w:eastAsia="Times New Roman"/>
                <w:sz w:val="21"/>
              </w:rPr>
              <w:t xml:space="preserve">2 </w:t>
            </w:r>
            <w:r>
              <w:rPr>
                <w:sz w:val="21"/>
              </w:rPr>
              <w:t>个标准差）人数</w:t>
            </w:r>
            <w:r>
              <w:rPr>
                <w:rFonts w:ascii="Times New Roman" w:hAnsi="Times New Roman" w:eastAsia="Times New Roman"/>
                <w:sz w:val="21"/>
              </w:rPr>
              <w:t xml:space="preserve">/ </w:t>
            </w:r>
            <w:r>
              <w:rPr>
                <w:sz w:val="21"/>
              </w:rPr>
              <w:t xml:space="preserve">某地区当年 </w:t>
            </w:r>
            <w:r>
              <w:rPr>
                <w:rFonts w:ascii="Times New Roman" w:hAnsi="Times New Roman" w:eastAsia="Times New Roman"/>
                <w:sz w:val="21"/>
              </w:rPr>
              <w:t xml:space="preserve">5 </w:t>
            </w:r>
            <w:r>
              <w:rPr>
                <w:sz w:val="21"/>
              </w:rPr>
              <w:t>岁以下儿童身高（长）体重检查人数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695" w:type="dxa"/>
            <w:vMerge w:val="continue"/>
            <w:tcBorders>
              <w:top w:val="nil"/>
            </w:tcBorders>
          </w:tcPr>
          <w:p>
            <w:pPr>
              <w:rPr>
                <w:sz w:val="2"/>
                <w:szCs w:val="2"/>
              </w:rPr>
            </w:pPr>
          </w:p>
        </w:tc>
        <w:tc>
          <w:tcPr>
            <w:tcW w:w="8185" w:type="dxa"/>
            <w:gridSpan w:val="6"/>
            <w:tcBorders>
              <w:top w:val="single" w:color="000000" w:sz="4" w:space="0"/>
              <w:left w:val="single" w:color="000000" w:sz="4" w:space="0"/>
              <w:right w:val="single" w:color="000000" w:sz="4" w:space="0"/>
            </w:tcBorders>
          </w:tcPr>
          <w:p>
            <w:pPr>
              <w:pStyle w:val="11"/>
              <w:spacing w:before="40"/>
              <w:ind w:left="110"/>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Borders>
              <w:top w:val="single" w:color="000000" w:sz="4" w:space="0"/>
              <w:left w:val="single" w:color="000000" w:sz="4" w:space="0"/>
              <w:bottom w:val="single" w:color="000000" w:sz="4" w:space="0"/>
              <w:right w:val="single" w:color="000000" w:sz="4" w:space="0"/>
            </w:tcBorders>
          </w:tcPr>
          <w:p>
            <w:pPr>
              <w:pStyle w:val="11"/>
              <w:rPr>
                <w:rFonts w:ascii="宋体"/>
                <w:b/>
                <w:sz w:val="28"/>
              </w:rPr>
            </w:pPr>
          </w:p>
          <w:p>
            <w:pPr>
              <w:pStyle w:val="11"/>
              <w:ind w:left="227"/>
              <w:rPr>
                <w:rFonts w:ascii="Times New Roman"/>
                <w:sz w:val="24"/>
              </w:rPr>
            </w:pPr>
            <w:r>
              <w:rPr>
                <w:rFonts w:ascii="Times New Roman"/>
                <w:sz w:val="24"/>
              </w:rPr>
              <w:t>13</w:t>
            </w:r>
          </w:p>
        </w:tc>
        <w:tc>
          <w:tcPr>
            <w:tcW w:w="3458" w:type="dxa"/>
            <w:tcBorders>
              <w:top w:val="single" w:color="000000" w:sz="4" w:space="0"/>
              <w:left w:val="single" w:color="000000" w:sz="4" w:space="0"/>
              <w:bottom w:val="single" w:color="000000" w:sz="4" w:space="0"/>
              <w:right w:val="single" w:color="000000" w:sz="4" w:space="0"/>
            </w:tcBorders>
          </w:tcPr>
          <w:p>
            <w:pPr>
              <w:pStyle w:val="11"/>
              <w:spacing w:before="137"/>
              <w:ind w:left="110"/>
              <w:rPr>
                <w:rFonts w:hint="eastAsia" w:ascii="仿宋" w:eastAsia="仿宋"/>
                <w:b/>
                <w:sz w:val="24"/>
              </w:rPr>
            </w:pPr>
            <w:r>
              <w:rPr>
                <w:rFonts w:hint="eastAsia" w:ascii="仿宋" w:eastAsia="仿宋"/>
                <w:b/>
                <w:sz w:val="24"/>
              </w:rPr>
              <w:t>人均每日食盐摄入量（</w:t>
            </w:r>
            <w:r>
              <w:rPr>
                <w:rFonts w:ascii="Times New Roman" w:eastAsia="Times New Roman"/>
                <w:b/>
                <w:sz w:val="24"/>
              </w:rPr>
              <w:t>g</w:t>
            </w:r>
            <w:r>
              <w:rPr>
                <w:rFonts w:hint="eastAsia" w:ascii="仿宋" w:eastAsia="仿宋"/>
                <w:b/>
                <w:sz w:val="24"/>
              </w:rPr>
              <w:t>）</w:t>
            </w:r>
          </w:p>
        </w:tc>
        <w:tc>
          <w:tcPr>
            <w:tcW w:w="1282" w:type="dxa"/>
            <w:tcBorders>
              <w:left w:val="single" w:color="000000" w:sz="4" w:space="0"/>
            </w:tcBorders>
          </w:tcPr>
          <w:p>
            <w:pPr>
              <w:pStyle w:val="11"/>
              <w:ind w:left="77" w:right="102"/>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line="258" w:lineRule="exact"/>
              <w:ind w:left="92" w:right="76"/>
              <w:jc w:val="center"/>
              <w:rPr>
                <w:rFonts w:ascii="Times New Roman"/>
                <w:sz w:val="24"/>
              </w:rPr>
            </w:pPr>
            <w:r>
              <w:rPr>
                <w:rFonts w:ascii="Times New Roman"/>
                <w:sz w:val="24"/>
              </w:rPr>
              <w:t>10.5</w:t>
            </w:r>
          </w:p>
        </w:tc>
        <w:tc>
          <w:tcPr>
            <w:tcW w:w="1702" w:type="dxa"/>
            <w:gridSpan w:val="2"/>
          </w:tcPr>
          <w:p>
            <w:pPr>
              <w:pStyle w:val="11"/>
              <w:spacing w:before="153"/>
              <w:ind w:left="551" w:right="539"/>
              <w:jc w:val="center"/>
              <w:rPr>
                <w:rFonts w:ascii="Times New Roman" w:hAnsi="Times New Roman"/>
                <w:sz w:val="24"/>
              </w:rPr>
            </w:pPr>
            <w:r>
              <w:rPr>
                <w:rFonts w:ascii="Times New Roman" w:hAnsi="Times New Roman"/>
                <w:sz w:val="24"/>
              </w:rPr>
              <w:t>≤5</w:t>
            </w:r>
          </w:p>
        </w:tc>
        <w:tc>
          <w:tcPr>
            <w:tcW w:w="1050" w:type="dxa"/>
          </w:tcPr>
          <w:p>
            <w:pPr>
              <w:pStyle w:val="11"/>
              <w:spacing w:before="137"/>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continue"/>
            <w:tcBorders>
              <w:top w:val="nil"/>
              <w:left w:val="single" w:color="000000" w:sz="4" w:space="0"/>
              <w:bottom w:val="single" w:color="000000" w:sz="4" w:space="0"/>
              <w:right w:val="single" w:color="000000" w:sz="4" w:space="0"/>
            </w:tcBorders>
          </w:tcPr>
          <w:p>
            <w:pPr>
              <w:rPr>
                <w:sz w:val="2"/>
                <w:szCs w:val="2"/>
              </w:rPr>
            </w:pPr>
          </w:p>
        </w:tc>
        <w:tc>
          <w:tcPr>
            <w:tcW w:w="7492" w:type="dxa"/>
            <w:gridSpan w:val="5"/>
            <w:tcBorders>
              <w:left w:val="single" w:color="000000" w:sz="4" w:space="0"/>
              <w:right w:val="single" w:color="000000" w:sz="4" w:space="0"/>
            </w:tcBorders>
          </w:tcPr>
          <w:p>
            <w:pPr>
              <w:pStyle w:val="11"/>
              <w:spacing w:before="64"/>
              <w:ind w:left="110"/>
              <w:rPr>
                <w:sz w:val="21"/>
              </w:rPr>
            </w:pPr>
            <w:r>
              <w:rPr>
                <w:sz w:val="21"/>
              </w:rPr>
              <w:t>说明：</w:t>
            </w:r>
            <w:r>
              <w:rPr>
                <w:rFonts w:ascii="Times New Roman" w:eastAsia="Times New Roman"/>
                <w:sz w:val="21"/>
              </w:rPr>
              <w:t xml:space="preserve">2013 </w:t>
            </w:r>
            <w:r>
              <w:rPr>
                <w:sz w:val="21"/>
              </w:rPr>
              <w:t xml:space="preserve">年，世界卫生组织建议人均每日食盐摄入量不高于 </w:t>
            </w:r>
            <w:r>
              <w:rPr>
                <w:rFonts w:ascii="Times New Roman" w:eastAsia="Times New Roman"/>
                <w:sz w:val="21"/>
              </w:rPr>
              <w:t>5g</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Borders>
              <w:top w:val="single" w:color="000000" w:sz="4" w:space="0"/>
              <w:left w:val="single" w:color="000000" w:sz="4" w:space="0"/>
              <w:bottom w:val="single" w:color="000000" w:sz="4" w:space="0"/>
              <w:right w:val="single" w:color="000000" w:sz="4" w:space="0"/>
            </w:tcBorders>
          </w:tcPr>
          <w:p>
            <w:pPr>
              <w:pStyle w:val="11"/>
              <w:rPr>
                <w:rFonts w:ascii="宋体"/>
                <w:b/>
                <w:sz w:val="26"/>
              </w:rPr>
            </w:pPr>
          </w:p>
          <w:p>
            <w:pPr>
              <w:pStyle w:val="11"/>
              <w:spacing w:before="210"/>
              <w:ind w:left="227"/>
              <w:rPr>
                <w:rFonts w:ascii="Times New Roman"/>
                <w:sz w:val="24"/>
              </w:rPr>
            </w:pPr>
            <w:r>
              <w:rPr>
                <w:rFonts w:ascii="Times New Roman"/>
                <w:sz w:val="24"/>
              </w:rPr>
              <w:t>14</w:t>
            </w:r>
          </w:p>
        </w:tc>
        <w:tc>
          <w:tcPr>
            <w:tcW w:w="3458" w:type="dxa"/>
            <w:tcBorders>
              <w:top w:val="single" w:color="000000" w:sz="4" w:space="0"/>
              <w:left w:val="single" w:color="000000" w:sz="4" w:space="0"/>
              <w:bottom w:val="single" w:color="000000" w:sz="4" w:space="0"/>
              <w:right w:val="single" w:color="000000" w:sz="4" w:space="0"/>
            </w:tcBorders>
          </w:tcPr>
          <w:p>
            <w:pPr>
              <w:pStyle w:val="11"/>
              <w:spacing w:before="1"/>
              <w:ind w:left="110"/>
              <w:rPr>
                <w:rFonts w:hint="eastAsia" w:ascii="仿宋" w:eastAsia="仿宋"/>
                <w:b/>
                <w:sz w:val="24"/>
              </w:rPr>
            </w:pPr>
            <w:r>
              <w:rPr>
                <w:rFonts w:hint="eastAsia" w:ascii="仿宋" w:eastAsia="仿宋"/>
                <w:b/>
                <w:sz w:val="24"/>
              </w:rPr>
              <w:t>成人人均每日食用油摄入量</w:t>
            </w:r>
          </w:p>
          <w:p>
            <w:pPr>
              <w:pStyle w:val="11"/>
              <w:spacing w:before="5" w:line="290" w:lineRule="exact"/>
              <w:ind w:left="110"/>
              <w:rPr>
                <w:rFonts w:hint="eastAsia" w:ascii="仿宋" w:eastAsia="仿宋"/>
                <w:b/>
                <w:sz w:val="24"/>
              </w:rPr>
            </w:pPr>
            <w:r>
              <w:rPr>
                <w:rFonts w:hint="eastAsia" w:ascii="仿宋" w:eastAsia="仿宋"/>
                <w:b/>
                <w:sz w:val="24"/>
              </w:rPr>
              <w:t>（</w:t>
            </w:r>
            <w:r>
              <w:rPr>
                <w:rFonts w:ascii="Times New Roman" w:eastAsia="Times New Roman"/>
                <w:b/>
                <w:sz w:val="24"/>
              </w:rPr>
              <w:t>g</w:t>
            </w:r>
            <w:r>
              <w:rPr>
                <w:rFonts w:hint="eastAsia" w:ascii="仿宋" w:eastAsia="仿宋"/>
                <w:b/>
                <w:sz w:val="24"/>
              </w:rPr>
              <w:t>）</w:t>
            </w:r>
          </w:p>
        </w:tc>
        <w:tc>
          <w:tcPr>
            <w:tcW w:w="1282" w:type="dxa"/>
            <w:tcBorders>
              <w:left w:val="single" w:color="000000" w:sz="4" w:space="0"/>
            </w:tcBorders>
          </w:tcPr>
          <w:p>
            <w:pPr>
              <w:pStyle w:val="11"/>
              <w:spacing w:before="18"/>
              <w:ind w:left="77" w:right="102"/>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ind w:left="92" w:right="76"/>
              <w:jc w:val="center"/>
              <w:rPr>
                <w:rFonts w:ascii="Times New Roman"/>
                <w:sz w:val="24"/>
              </w:rPr>
            </w:pPr>
            <w:r>
              <w:rPr>
                <w:rFonts w:ascii="Times New Roman"/>
                <w:sz w:val="24"/>
              </w:rPr>
              <w:t>42.1</w:t>
            </w:r>
          </w:p>
        </w:tc>
        <w:tc>
          <w:tcPr>
            <w:tcW w:w="1702" w:type="dxa"/>
            <w:gridSpan w:val="2"/>
          </w:tcPr>
          <w:p>
            <w:pPr>
              <w:pStyle w:val="11"/>
              <w:spacing w:before="157"/>
              <w:ind w:left="489"/>
              <w:rPr>
                <w:rFonts w:ascii="Times New Roman" w:eastAsia="Times New Roman"/>
                <w:sz w:val="24"/>
              </w:rPr>
            </w:pPr>
            <w:r>
              <w:rPr>
                <w:rFonts w:ascii="Times New Roman" w:eastAsia="Times New Roman"/>
                <w:sz w:val="24"/>
              </w:rPr>
              <w:t>25</w:t>
            </w:r>
            <w:r>
              <w:rPr>
                <w:rFonts w:hint="eastAsia" w:ascii="仿宋" w:eastAsia="仿宋"/>
                <w:sz w:val="24"/>
              </w:rPr>
              <w:t>～</w:t>
            </w:r>
            <w:r>
              <w:rPr>
                <w:rFonts w:ascii="Times New Roman" w:eastAsia="Times New Roman"/>
                <w:sz w:val="24"/>
              </w:rPr>
              <w:t>30</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8" w:hRule="atLeast"/>
        </w:trPr>
        <w:tc>
          <w:tcPr>
            <w:tcW w:w="695" w:type="dxa"/>
            <w:vMerge w:val="continue"/>
            <w:tcBorders>
              <w:top w:val="nil"/>
            </w:tcBorders>
          </w:tcPr>
          <w:p>
            <w:pPr>
              <w:rPr>
                <w:sz w:val="2"/>
                <w:szCs w:val="2"/>
              </w:rPr>
            </w:pPr>
          </w:p>
        </w:tc>
        <w:tc>
          <w:tcPr>
            <w:tcW w:w="693" w:type="dxa"/>
            <w:vMerge w:val="continue"/>
            <w:tcBorders>
              <w:top w:val="nil"/>
              <w:left w:val="single" w:color="000000" w:sz="4" w:space="0"/>
              <w:bottom w:val="single" w:color="000000" w:sz="4" w:space="0"/>
              <w:right w:val="single" w:color="000000" w:sz="4" w:space="0"/>
            </w:tcBorders>
          </w:tcPr>
          <w:p>
            <w:pPr>
              <w:rPr>
                <w:sz w:val="2"/>
                <w:szCs w:val="2"/>
              </w:rPr>
            </w:pPr>
          </w:p>
        </w:tc>
        <w:tc>
          <w:tcPr>
            <w:tcW w:w="7492" w:type="dxa"/>
            <w:gridSpan w:val="5"/>
            <w:tcBorders>
              <w:left w:val="single" w:color="000000" w:sz="4" w:space="0"/>
              <w:right w:val="single" w:color="000000" w:sz="4" w:space="0"/>
            </w:tcBorders>
          </w:tcPr>
          <w:p>
            <w:pPr>
              <w:pStyle w:val="11"/>
              <w:spacing w:before="92" w:line="242" w:lineRule="auto"/>
              <w:ind w:left="110" w:right="94"/>
              <w:rPr>
                <w:sz w:val="21"/>
              </w:rPr>
            </w:pPr>
            <w:r>
              <w:rPr>
                <w:spacing w:val="-7"/>
                <w:w w:val="95"/>
                <w:sz w:val="21"/>
              </w:rPr>
              <w:t xml:space="preserve">说明：监测人群的每日食用油总消耗量与监测人群总人数之比。《中国居民膳食  </w:t>
            </w:r>
            <w:r>
              <w:rPr>
                <w:spacing w:val="-10"/>
                <w:sz w:val="21"/>
              </w:rPr>
              <w:t xml:space="preserve">指南》建议成人每日食用油摄入量不高于 </w:t>
            </w:r>
            <w:r>
              <w:rPr>
                <w:rFonts w:ascii="Times New Roman" w:eastAsia="Times New Roman"/>
                <w:sz w:val="21"/>
              </w:rPr>
              <w:t>25</w:t>
            </w:r>
            <w:r>
              <w:rPr>
                <w:sz w:val="21"/>
              </w:rPr>
              <w:t>～</w:t>
            </w:r>
            <w:r>
              <w:rPr>
                <w:rFonts w:ascii="Times New Roman" w:eastAsia="Times New Roman"/>
                <w:sz w:val="21"/>
              </w:rPr>
              <w:t>30g</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693" w:type="dxa"/>
            <w:vMerge w:val="restart"/>
            <w:tcBorders>
              <w:top w:val="single" w:color="000000" w:sz="4" w:space="0"/>
              <w:left w:val="single" w:color="000000" w:sz="4" w:space="0"/>
              <w:bottom w:val="single" w:color="000000" w:sz="4" w:space="0"/>
              <w:right w:val="single" w:color="000000" w:sz="4" w:space="0"/>
            </w:tcBorders>
          </w:tcPr>
          <w:p>
            <w:pPr>
              <w:pStyle w:val="11"/>
              <w:rPr>
                <w:rFonts w:ascii="宋体"/>
                <w:b/>
                <w:sz w:val="26"/>
              </w:rPr>
            </w:pPr>
          </w:p>
          <w:p>
            <w:pPr>
              <w:pStyle w:val="11"/>
              <w:spacing w:before="216"/>
              <w:ind w:left="227"/>
              <w:rPr>
                <w:rFonts w:ascii="Times New Roman"/>
                <w:sz w:val="24"/>
              </w:rPr>
            </w:pPr>
            <w:r>
              <w:rPr>
                <w:rFonts w:ascii="Times New Roman"/>
                <w:sz w:val="24"/>
              </w:rPr>
              <w:t>15</w:t>
            </w:r>
          </w:p>
        </w:tc>
        <w:tc>
          <w:tcPr>
            <w:tcW w:w="3458" w:type="dxa"/>
            <w:tcBorders>
              <w:top w:val="single" w:color="000000" w:sz="4" w:space="0"/>
              <w:left w:val="single" w:color="000000" w:sz="4" w:space="0"/>
              <w:bottom w:val="single" w:color="000000" w:sz="4" w:space="0"/>
              <w:right w:val="single" w:color="000000" w:sz="4" w:space="0"/>
            </w:tcBorders>
          </w:tcPr>
          <w:p>
            <w:pPr>
              <w:pStyle w:val="11"/>
              <w:spacing w:before="43"/>
              <w:ind w:left="110"/>
              <w:rPr>
                <w:rFonts w:hint="eastAsia" w:ascii="仿宋" w:eastAsia="仿宋"/>
                <w:b/>
                <w:sz w:val="24"/>
              </w:rPr>
            </w:pPr>
            <w:r>
              <w:rPr>
                <w:rFonts w:hint="eastAsia" w:ascii="仿宋" w:eastAsia="仿宋"/>
                <w:b/>
                <w:sz w:val="24"/>
              </w:rPr>
              <w:t>人均每日添加糖摄入量（</w:t>
            </w:r>
            <w:r>
              <w:rPr>
                <w:rFonts w:ascii="Times New Roman" w:eastAsia="Times New Roman"/>
                <w:b/>
                <w:sz w:val="24"/>
              </w:rPr>
              <w:t>g</w:t>
            </w:r>
            <w:r>
              <w:rPr>
                <w:rFonts w:hint="eastAsia" w:ascii="仿宋" w:eastAsia="仿宋"/>
                <w:b/>
                <w:sz w:val="24"/>
              </w:rPr>
              <w:t>）</w:t>
            </w:r>
          </w:p>
        </w:tc>
        <w:tc>
          <w:tcPr>
            <w:tcW w:w="1282" w:type="dxa"/>
            <w:tcBorders>
              <w:left w:val="single" w:color="000000" w:sz="4" w:space="0"/>
            </w:tcBorders>
          </w:tcPr>
          <w:p>
            <w:pPr>
              <w:pStyle w:val="11"/>
              <w:spacing w:before="59"/>
              <w:ind w:left="92" w:right="74"/>
              <w:jc w:val="center"/>
              <w:rPr>
                <w:rFonts w:ascii="Times New Roman"/>
                <w:sz w:val="24"/>
              </w:rPr>
            </w:pPr>
            <w:r>
              <w:rPr>
                <w:rFonts w:ascii="Times New Roman"/>
                <w:sz w:val="24"/>
              </w:rPr>
              <w:t>30</w:t>
            </w:r>
          </w:p>
        </w:tc>
        <w:tc>
          <w:tcPr>
            <w:tcW w:w="1702" w:type="dxa"/>
            <w:gridSpan w:val="2"/>
          </w:tcPr>
          <w:p>
            <w:pPr>
              <w:pStyle w:val="11"/>
              <w:spacing w:before="59"/>
              <w:ind w:left="551" w:right="539"/>
              <w:jc w:val="center"/>
              <w:rPr>
                <w:rFonts w:ascii="Times New Roman" w:hAnsi="Times New Roman"/>
                <w:sz w:val="24"/>
              </w:rPr>
            </w:pPr>
            <w:r>
              <w:rPr>
                <w:rFonts w:ascii="Times New Roman" w:hAnsi="Times New Roman"/>
                <w:sz w:val="24"/>
              </w:rPr>
              <w:t>≤25</w:t>
            </w:r>
          </w:p>
        </w:tc>
        <w:tc>
          <w:tcPr>
            <w:tcW w:w="1050" w:type="dxa"/>
          </w:tcPr>
          <w:p>
            <w:pPr>
              <w:pStyle w:val="11"/>
              <w:spacing w:before="43"/>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65" w:hRule="atLeast"/>
        </w:trPr>
        <w:tc>
          <w:tcPr>
            <w:tcW w:w="695" w:type="dxa"/>
            <w:vMerge w:val="continue"/>
            <w:tcBorders>
              <w:top w:val="nil"/>
            </w:tcBorders>
          </w:tcPr>
          <w:p>
            <w:pPr>
              <w:rPr>
                <w:sz w:val="2"/>
                <w:szCs w:val="2"/>
              </w:rPr>
            </w:pPr>
          </w:p>
        </w:tc>
        <w:tc>
          <w:tcPr>
            <w:tcW w:w="693" w:type="dxa"/>
            <w:vMerge w:val="continue"/>
            <w:tcBorders>
              <w:top w:val="nil"/>
              <w:left w:val="single" w:color="000000" w:sz="4" w:space="0"/>
              <w:bottom w:val="single" w:color="000000" w:sz="4" w:space="0"/>
              <w:right w:val="single" w:color="000000" w:sz="4" w:space="0"/>
            </w:tcBorders>
          </w:tcPr>
          <w:p>
            <w:pPr>
              <w:rPr>
                <w:sz w:val="2"/>
                <w:szCs w:val="2"/>
              </w:rPr>
            </w:pPr>
          </w:p>
        </w:tc>
        <w:tc>
          <w:tcPr>
            <w:tcW w:w="7492" w:type="dxa"/>
            <w:gridSpan w:val="5"/>
            <w:tcBorders>
              <w:left w:val="single" w:color="000000" w:sz="4" w:space="0"/>
              <w:right w:val="single" w:color="000000" w:sz="4" w:space="0"/>
            </w:tcBorders>
          </w:tcPr>
          <w:p>
            <w:pPr>
              <w:pStyle w:val="11"/>
              <w:spacing w:before="74" w:line="242" w:lineRule="auto"/>
              <w:ind w:left="110" w:right="-15"/>
              <w:rPr>
                <w:sz w:val="21"/>
              </w:rPr>
            </w:pPr>
            <w:r>
              <w:rPr>
                <w:spacing w:val="-13"/>
                <w:w w:val="95"/>
                <w:sz w:val="21"/>
              </w:rPr>
              <w:t xml:space="preserve">说明：添加糖指人工加入到食品中的、具有甜味特征的糖类，以及单独食用的糖，  </w:t>
            </w:r>
            <w:r>
              <w:rPr>
                <w:spacing w:val="-13"/>
                <w:sz w:val="21"/>
              </w:rPr>
              <w:t>常见有蔗糖、果糖、葡萄糖等。</w:t>
            </w:r>
          </w:p>
          <w:p>
            <w:pPr>
              <w:pStyle w:val="11"/>
              <w:spacing w:before="1"/>
              <w:ind w:left="110"/>
              <w:rPr>
                <w:sz w:val="21"/>
              </w:rPr>
            </w:pPr>
            <w:r>
              <w:rPr>
                <w:sz w:val="21"/>
              </w:rPr>
              <w:t>计算方法：监测人群的每日添加糖总消耗量</w:t>
            </w:r>
            <w:r>
              <w:rPr>
                <w:rFonts w:ascii="Times New Roman" w:eastAsia="Times New Roman"/>
                <w:sz w:val="21"/>
              </w:rPr>
              <w:t>/</w:t>
            </w:r>
            <w:r>
              <w:rPr>
                <w:sz w:val="21"/>
              </w:rPr>
              <w:t>监测人群总人数。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Borders>
              <w:top w:val="single" w:color="000000" w:sz="4" w:space="0"/>
              <w:left w:val="single" w:color="000000" w:sz="4" w:space="0"/>
              <w:bottom w:val="single" w:color="000000" w:sz="4" w:space="0"/>
              <w:right w:val="single" w:color="000000" w:sz="4" w:space="0"/>
            </w:tcBorders>
          </w:tcPr>
          <w:p>
            <w:pPr>
              <w:pStyle w:val="11"/>
              <w:rPr>
                <w:rFonts w:ascii="宋体"/>
                <w:b/>
                <w:sz w:val="26"/>
              </w:rPr>
            </w:pPr>
          </w:p>
          <w:p>
            <w:pPr>
              <w:pStyle w:val="11"/>
              <w:spacing w:before="6"/>
              <w:rPr>
                <w:rFonts w:ascii="宋体"/>
                <w:b/>
                <w:sz w:val="18"/>
              </w:rPr>
            </w:pPr>
          </w:p>
          <w:p>
            <w:pPr>
              <w:pStyle w:val="11"/>
              <w:ind w:left="227"/>
              <w:rPr>
                <w:rFonts w:ascii="Times New Roman"/>
                <w:sz w:val="24"/>
              </w:rPr>
            </w:pPr>
            <w:r>
              <w:rPr>
                <w:rFonts w:ascii="Times New Roman"/>
                <w:sz w:val="24"/>
              </w:rPr>
              <w:t>16</w:t>
            </w:r>
          </w:p>
        </w:tc>
        <w:tc>
          <w:tcPr>
            <w:tcW w:w="3458" w:type="dxa"/>
            <w:tcBorders>
              <w:top w:val="single" w:color="000000" w:sz="4" w:space="0"/>
              <w:left w:val="single" w:color="000000" w:sz="4" w:space="0"/>
              <w:bottom w:val="single" w:color="000000" w:sz="4" w:space="0"/>
              <w:right w:val="single" w:color="000000" w:sz="4" w:space="0"/>
            </w:tcBorders>
          </w:tcPr>
          <w:p>
            <w:pPr>
              <w:pStyle w:val="11"/>
              <w:spacing w:before="138"/>
              <w:ind w:left="110"/>
              <w:rPr>
                <w:rFonts w:hint="eastAsia" w:ascii="仿宋" w:eastAsia="仿宋"/>
                <w:b/>
                <w:sz w:val="24"/>
              </w:rPr>
            </w:pPr>
            <w:r>
              <w:rPr>
                <w:rFonts w:hint="eastAsia" w:ascii="仿宋" w:eastAsia="仿宋"/>
                <w:b/>
                <w:sz w:val="24"/>
              </w:rPr>
              <w:t>蔬菜和水果每日摄入量（</w:t>
            </w:r>
            <w:r>
              <w:rPr>
                <w:rFonts w:ascii="Times New Roman" w:eastAsia="Times New Roman"/>
                <w:b/>
                <w:sz w:val="24"/>
              </w:rPr>
              <w:t>g</w:t>
            </w:r>
            <w:r>
              <w:rPr>
                <w:rFonts w:hint="eastAsia" w:ascii="仿宋" w:eastAsia="仿宋"/>
                <w:b/>
                <w:sz w:val="24"/>
              </w:rPr>
              <w:t>）</w:t>
            </w:r>
          </w:p>
        </w:tc>
        <w:tc>
          <w:tcPr>
            <w:tcW w:w="1282" w:type="dxa"/>
            <w:tcBorders>
              <w:left w:val="single" w:color="000000" w:sz="4" w:space="0"/>
            </w:tcBorders>
          </w:tcPr>
          <w:p>
            <w:pPr>
              <w:pStyle w:val="11"/>
              <w:spacing w:before="2"/>
              <w:ind w:left="77" w:right="102"/>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line="256" w:lineRule="exact"/>
              <w:ind w:left="92" w:right="74"/>
              <w:jc w:val="center"/>
              <w:rPr>
                <w:rFonts w:ascii="Times New Roman"/>
                <w:sz w:val="24"/>
              </w:rPr>
            </w:pPr>
            <w:r>
              <w:rPr>
                <w:rFonts w:ascii="Times New Roman"/>
                <w:sz w:val="24"/>
              </w:rPr>
              <w:t>296</w:t>
            </w:r>
          </w:p>
        </w:tc>
        <w:tc>
          <w:tcPr>
            <w:tcW w:w="1702" w:type="dxa"/>
            <w:gridSpan w:val="2"/>
          </w:tcPr>
          <w:p>
            <w:pPr>
              <w:pStyle w:val="11"/>
              <w:spacing w:before="154"/>
              <w:ind w:left="551" w:right="539"/>
              <w:jc w:val="center"/>
              <w:rPr>
                <w:rFonts w:ascii="Times New Roman" w:hAnsi="Times New Roman"/>
                <w:sz w:val="24"/>
              </w:rPr>
            </w:pPr>
            <w:r>
              <w:rPr>
                <w:rFonts w:ascii="Times New Roman" w:hAnsi="Times New Roman"/>
                <w:sz w:val="24"/>
              </w:rPr>
              <w:t>≥500</w:t>
            </w:r>
          </w:p>
        </w:tc>
        <w:tc>
          <w:tcPr>
            <w:tcW w:w="1050" w:type="dxa"/>
          </w:tcPr>
          <w:p>
            <w:pPr>
              <w:pStyle w:val="11"/>
              <w:spacing w:before="138"/>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left w:val="single" w:color="000000" w:sz="4" w:space="0"/>
              <w:bottom w:val="single" w:color="000000" w:sz="4" w:space="0"/>
              <w:right w:val="single" w:color="000000" w:sz="4" w:space="0"/>
            </w:tcBorders>
          </w:tcPr>
          <w:p>
            <w:pPr>
              <w:rPr>
                <w:sz w:val="2"/>
                <w:szCs w:val="2"/>
              </w:rPr>
            </w:pPr>
          </w:p>
        </w:tc>
        <w:tc>
          <w:tcPr>
            <w:tcW w:w="7492" w:type="dxa"/>
            <w:gridSpan w:val="5"/>
            <w:tcBorders>
              <w:left w:val="single" w:color="000000" w:sz="4" w:space="0"/>
              <w:right w:val="single" w:color="000000" w:sz="4" w:space="0"/>
            </w:tcBorders>
          </w:tcPr>
          <w:p>
            <w:pPr>
              <w:pStyle w:val="11"/>
              <w:spacing w:before="1"/>
              <w:ind w:left="110"/>
              <w:rPr>
                <w:sz w:val="21"/>
              </w:rPr>
            </w:pPr>
            <w:r>
              <w:rPr>
                <w:spacing w:val="-3"/>
                <w:sz w:val="21"/>
              </w:rPr>
              <w:t xml:space="preserve">说明：《中国居民膳食指南》建议餐餐有蔬菜，保证每天摄入 </w:t>
            </w:r>
            <w:r>
              <w:rPr>
                <w:rFonts w:ascii="Times New Roman" w:eastAsia="Times New Roman"/>
                <w:sz w:val="21"/>
              </w:rPr>
              <w:t>300</w:t>
            </w:r>
            <w:r>
              <w:rPr>
                <w:sz w:val="21"/>
              </w:rPr>
              <w:t>～</w:t>
            </w:r>
            <w:r>
              <w:rPr>
                <w:rFonts w:ascii="Times New Roman" w:eastAsia="Times New Roman"/>
                <w:sz w:val="21"/>
              </w:rPr>
              <w:t xml:space="preserve">500g </w:t>
            </w:r>
            <w:r>
              <w:rPr>
                <w:sz w:val="21"/>
              </w:rPr>
              <w:t>蔬菜，</w:t>
            </w:r>
          </w:p>
          <w:p>
            <w:pPr>
              <w:pStyle w:val="11"/>
              <w:spacing w:before="1" w:line="270" w:lineRule="atLeast"/>
              <w:ind w:left="110" w:right="15"/>
              <w:rPr>
                <w:sz w:val="21"/>
              </w:rPr>
            </w:pPr>
            <w:r>
              <w:rPr>
                <w:sz w:val="21"/>
              </w:rPr>
              <w:t xml:space="preserve">深色蔬菜应占 </w:t>
            </w:r>
            <w:r>
              <w:rPr>
                <w:rFonts w:ascii="Times New Roman" w:eastAsia="Times New Roman"/>
                <w:sz w:val="21"/>
              </w:rPr>
              <w:t>1/2</w:t>
            </w:r>
            <w:r>
              <w:rPr>
                <w:sz w:val="21"/>
              </w:rPr>
              <w:t xml:space="preserve">；天天吃水果，保证每天摄入 </w:t>
            </w:r>
            <w:r>
              <w:rPr>
                <w:rFonts w:ascii="Times New Roman" w:eastAsia="Times New Roman"/>
                <w:sz w:val="21"/>
              </w:rPr>
              <w:t>200</w:t>
            </w:r>
            <w:r>
              <w:rPr>
                <w:sz w:val="21"/>
              </w:rPr>
              <w:t>～</w:t>
            </w:r>
            <w:r>
              <w:rPr>
                <w:rFonts w:ascii="Times New Roman" w:eastAsia="Times New Roman"/>
                <w:sz w:val="21"/>
              </w:rPr>
              <w:t xml:space="preserve">350g </w:t>
            </w:r>
            <w:r>
              <w:rPr>
                <w:sz w:val="21"/>
              </w:rPr>
              <w:t>新鲜水果，果汁不能代替鲜果。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restart"/>
            <w:tcBorders>
              <w:top w:val="single" w:color="000000" w:sz="4" w:space="0"/>
            </w:tcBorders>
          </w:tcPr>
          <w:p>
            <w:pPr>
              <w:pStyle w:val="11"/>
              <w:spacing w:before="5"/>
              <w:rPr>
                <w:rFonts w:ascii="宋体"/>
                <w:b/>
                <w:sz w:val="26"/>
              </w:rPr>
            </w:pPr>
          </w:p>
          <w:p>
            <w:pPr>
              <w:pStyle w:val="11"/>
              <w:ind w:left="225"/>
              <w:rPr>
                <w:rFonts w:ascii="Times New Roman"/>
                <w:sz w:val="24"/>
              </w:rPr>
            </w:pPr>
            <w:r>
              <w:rPr>
                <w:rFonts w:ascii="Times New Roman"/>
                <w:sz w:val="24"/>
              </w:rPr>
              <w:t>17</w:t>
            </w:r>
          </w:p>
        </w:tc>
        <w:tc>
          <w:tcPr>
            <w:tcW w:w="3458" w:type="dxa"/>
            <w:tcBorders>
              <w:top w:val="single" w:color="000000" w:sz="4" w:space="0"/>
              <w:left w:val="single" w:color="000000" w:sz="4" w:space="0"/>
              <w:right w:val="single" w:color="000000" w:sz="4" w:space="0"/>
            </w:tcBorders>
          </w:tcPr>
          <w:p>
            <w:pPr>
              <w:pStyle w:val="11"/>
              <w:spacing w:before="44"/>
              <w:ind w:left="110"/>
              <w:rPr>
                <w:rFonts w:hint="eastAsia" w:ascii="仿宋" w:eastAsia="仿宋"/>
                <w:b/>
                <w:sz w:val="24"/>
              </w:rPr>
            </w:pPr>
            <w:r>
              <w:rPr>
                <w:rFonts w:hint="eastAsia" w:ascii="仿宋" w:eastAsia="仿宋"/>
                <w:b/>
                <w:sz w:val="24"/>
              </w:rPr>
              <w:t>每日摄入食物种类（种）</w:t>
            </w:r>
          </w:p>
        </w:tc>
        <w:tc>
          <w:tcPr>
            <w:tcW w:w="1282" w:type="dxa"/>
            <w:tcBorders>
              <w:left w:val="single" w:color="000000" w:sz="4" w:space="0"/>
            </w:tcBorders>
          </w:tcPr>
          <w:p>
            <w:pPr>
              <w:pStyle w:val="11"/>
              <w:spacing w:before="60"/>
              <w:ind w:left="18"/>
              <w:jc w:val="center"/>
              <w:rPr>
                <w:rFonts w:ascii="Times New Roman" w:hAnsi="Times New Roman"/>
                <w:sz w:val="24"/>
              </w:rPr>
            </w:pPr>
            <w:r>
              <w:rPr>
                <w:rFonts w:ascii="Times New Roman" w:hAnsi="Times New Roman"/>
                <w:sz w:val="24"/>
              </w:rPr>
              <w:t>—</w:t>
            </w:r>
          </w:p>
        </w:tc>
        <w:tc>
          <w:tcPr>
            <w:tcW w:w="1702" w:type="dxa"/>
            <w:gridSpan w:val="2"/>
          </w:tcPr>
          <w:p>
            <w:pPr>
              <w:pStyle w:val="11"/>
              <w:spacing w:before="60"/>
              <w:ind w:left="551" w:right="539"/>
              <w:jc w:val="center"/>
              <w:rPr>
                <w:rFonts w:ascii="Times New Roman" w:hAnsi="Times New Roman"/>
                <w:sz w:val="24"/>
              </w:rPr>
            </w:pPr>
            <w:r>
              <w:rPr>
                <w:rFonts w:ascii="Times New Roman" w:hAnsi="Times New Roman"/>
                <w:sz w:val="24"/>
              </w:rPr>
              <w:t>≥12</w:t>
            </w:r>
          </w:p>
        </w:tc>
        <w:tc>
          <w:tcPr>
            <w:tcW w:w="1050" w:type="dxa"/>
          </w:tcPr>
          <w:p>
            <w:pPr>
              <w:pStyle w:val="11"/>
              <w:spacing w:before="44"/>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ind w:left="108"/>
              <w:rPr>
                <w:sz w:val="21"/>
              </w:rPr>
            </w:pPr>
            <w:r>
              <w:rPr>
                <w:spacing w:val="-10"/>
                <w:sz w:val="21"/>
              </w:rPr>
              <w:t xml:space="preserve">说明：《中国居民膳食指南》建议平均每天摄入 </w:t>
            </w:r>
            <w:r>
              <w:rPr>
                <w:rFonts w:ascii="Times New Roman" w:eastAsia="Times New Roman"/>
                <w:sz w:val="21"/>
              </w:rPr>
              <w:t xml:space="preserve">12 </w:t>
            </w:r>
            <w:r>
              <w:rPr>
                <w:spacing w:val="-9"/>
                <w:sz w:val="21"/>
              </w:rPr>
              <w:t xml:space="preserve">种及以上食物，每周 </w:t>
            </w:r>
            <w:r>
              <w:rPr>
                <w:rFonts w:ascii="Times New Roman" w:eastAsia="Times New Roman"/>
                <w:sz w:val="21"/>
              </w:rPr>
              <w:t xml:space="preserve">25 </w:t>
            </w:r>
            <w:r>
              <w:rPr>
                <w:sz w:val="21"/>
              </w:rPr>
              <w:t>种以</w:t>
            </w:r>
          </w:p>
          <w:p>
            <w:pPr>
              <w:pStyle w:val="11"/>
              <w:spacing w:before="2" w:line="254" w:lineRule="exact"/>
              <w:ind w:left="108"/>
              <w:rPr>
                <w:sz w:val="21"/>
              </w:rPr>
            </w:pPr>
            <w:r>
              <w:rPr>
                <w:sz w:val="21"/>
              </w:rPr>
              <w:t>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20"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7"/>
              <w:rPr>
                <w:rFonts w:ascii="宋体"/>
                <w:b/>
                <w:sz w:val="38"/>
              </w:rPr>
            </w:pPr>
          </w:p>
          <w:p>
            <w:pPr>
              <w:pStyle w:val="11"/>
              <w:spacing w:before="1"/>
              <w:ind w:left="225"/>
              <w:rPr>
                <w:rFonts w:ascii="Times New Roman"/>
                <w:sz w:val="24"/>
              </w:rPr>
            </w:pPr>
            <w:r>
              <w:rPr>
                <w:rFonts w:ascii="Times New Roman"/>
                <w:sz w:val="24"/>
              </w:rPr>
              <w:t>18</w:t>
            </w:r>
          </w:p>
        </w:tc>
        <w:tc>
          <w:tcPr>
            <w:tcW w:w="3458" w:type="dxa"/>
          </w:tcPr>
          <w:p>
            <w:pPr>
              <w:pStyle w:val="11"/>
              <w:rPr>
                <w:rFonts w:ascii="宋体"/>
                <w:b/>
                <w:sz w:val="24"/>
              </w:rPr>
            </w:pPr>
          </w:p>
          <w:p>
            <w:pPr>
              <w:pStyle w:val="11"/>
              <w:spacing w:before="3"/>
              <w:rPr>
                <w:rFonts w:ascii="宋体"/>
                <w:b/>
                <w:sz w:val="23"/>
              </w:rPr>
            </w:pPr>
          </w:p>
          <w:p>
            <w:pPr>
              <w:pStyle w:val="11"/>
              <w:ind w:left="108"/>
              <w:rPr>
                <w:rFonts w:hint="eastAsia" w:ascii="仿宋" w:eastAsia="仿宋"/>
                <w:b/>
                <w:sz w:val="24"/>
              </w:rPr>
            </w:pPr>
            <w:r>
              <w:rPr>
                <w:rFonts w:hint="eastAsia" w:ascii="仿宋" w:eastAsia="仿宋"/>
                <w:b/>
                <w:sz w:val="24"/>
              </w:rPr>
              <w:t>成年人维持健康体重</w:t>
            </w:r>
          </w:p>
        </w:tc>
        <w:tc>
          <w:tcPr>
            <w:tcW w:w="1282" w:type="dxa"/>
          </w:tcPr>
          <w:p>
            <w:pPr>
              <w:pStyle w:val="11"/>
              <w:ind w:left="89" w:right="76"/>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w:t>
            </w:r>
          </w:p>
          <w:p>
            <w:pPr>
              <w:pStyle w:val="11"/>
              <w:spacing w:before="5" w:line="242" w:lineRule="auto"/>
              <w:ind w:left="161" w:right="126" w:hanging="17"/>
              <w:jc w:val="both"/>
              <w:rPr>
                <w:rFonts w:hint="eastAsia" w:ascii="仿宋" w:eastAsia="仿宋"/>
                <w:sz w:val="24"/>
              </w:rPr>
            </w:pPr>
            <w:r>
              <w:rPr>
                <w:rFonts w:ascii="Times New Roman" w:eastAsia="Times New Roman"/>
                <w:sz w:val="24"/>
              </w:rPr>
              <w:t xml:space="preserve">BMI </w:t>
            </w:r>
            <w:r>
              <w:rPr>
                <w:rFonts w:hint="eastAsia" w:ascii="仿宋" w:eastAsia="仿宋"/>
                <w:sz w:val="24"/>
              </w:rPr>
              <w:t>在正常范围内的比例为</w:t>
            </w:r>
          </w:p>
          <w:p>
            <w:pPr>
              <w:pStyle w:val="11"/>
              <w:spacing w:line="257" w:lineRule="exact"/>
              <w:ind w:left="89" w:right="75"/>
              <w:jc w:val="center"/>
              <w:rPr>
                <w:rFonts w:ascii="Times New Roman"/>
                <w:sz w:val="24"/>
              </w:rPr>
            </w:pPr>
            <w:r>
              <w:rPr>
                <w:rFonts w:ascii="Times New Roman"/>
                <w:sz w:val="24"/>
              </w:rPr>
              <w:t>52%</w:t>
            </w:r>
          </w:p>
        </w:tc>
        <w:tc>
          <w:tcPr>
            <w:tcW w:w="1702" w:type="dxa"/>
            <w:gridSpan w:val="2"/>
          </w:tcPr>
          <w:p>
            <w:pPr>
              <w:pStyle w:val="11"/>
              <w:rPr>
                <w:rFonts w:ascii="宋体"/>
                <w:b/>
                <w:sz w:val="26"/>
              </w:rPr>
            </w:pPr>
          </w:p>
          <w:p>
            <w:pPr>
              <w:pStyle w:val="11"/>
              <w:spacing w:before="6"/>
              <w:rPr>
                <w:rFonts w:ascii="宋体"/>
                <w:b/>
                <w:sz w:val="22"/>
              </w:rPr>
            </w:pPr>
          </w:p>
          <w:p>
            <w:pPr>
              <w:pStyle w:val="11"/>
              <w:ind w:left="161"/>
              <w:rPr>
                <w:rFonts w:ascii="Times New Roman" w:hAnsi="Times New Roman"/>
                <w:sz w:val="24"/>
              </w:rPr>
            </w:pPr>
            <w:r>
              <w:rPr>
                <w:rFonts w:ascii="Times New Roman" w:hAnsi="Times New Roman"/>
                <w:sz w:val="24"/>
              </w:rPr>
              <w:t>18.5≤BMI&lt;24</w:t>
            </w:r>
          </w:p>
        </w:tc>
        <w:tc>
          <w:tcPr>
            <w:tcW w:w="1050" w:type="dxa"/>
          </w:tcPr>
          <w:p>
            <w:pPr>
              <w:pStyle w:val="11"/>
              <w:rPr>
                <w:rFonts w:ascii="宋体"/>
                <w:b/>
                <w:sz w:val="24"/>
              </w:rPr>
            </w:pPr>
          </w:p>
          <w:p>
            <w:pPr>
              <w:pStyle w:val="11"/>
              <w:spacing w:before="3"/>
              <w:rPr>
                <w:rFonts w:ascii="宋体"/>
                <w:b/>
                <w:sz w:val="23"/>
              </w:rPr>
            </w:pPr>
          </w:p>
          <w:p>
            <w:pPr>
              <w:pStyle w:val="11"/>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62"/>
              <w:ind w:left="108" w:right="-15"/>
              <w:rPr>
                <w:sz w:val="21"/>
              </w:rPr>
            </w:pPr>
            <w:r>
              <w:rPr>
                <w:spacing w:val="-17"/>
                <w:sz w:val="21"/>
              </w:rPr>
              <w:t>说明：体重指数</w:t>
            </w:r>
            <w:r>
              <w:rPr>
                <w:spacing w:val="-11"/>
                <w:sz w:val="21"/>
              </w:rPr>
              <w:t>（</w:t>
            </w:r>
            <w:r>
              <w:rPr>
                <w:rFonts w:ascii="Times New Roman" w:eastAsia="Times New Roman"/>
                <w:spacing w:val="-11"/>
                <w:sz w:val="21"/>
              </w:rPr>
              <w:t>BMI</w:t>
            </w:r>
            <w:r>
              <w:rPr>
                <w:spacing w:val="-11"/>
                <w:sz w:val="21"/>
              </w:rPr>
              <w:t>），</w:t>
            </w:r>
            <w:r>
              <w:rPr>
                <w:rFonts w:ascii="Times New Roman" w:eastAsia="Times New Roman"/>
                <w:spacing w:val="-11"/>
                <w:sz w:val="21"/>
              </w:rPr>
              <w:t xml:space="preserve">2012 </w:t>
            </w:r>
            <w:r>
              <w:rPr>
                <w:spacing w:val="-4"/>
                <w:sz w:val="21"/>
              </w:rPr>
              <w:t xml:space="preserve">年成人健康体重指数在正常范围内的比例为 </w:t>
            </w:r>
            <w:r>
              <w:rPr>
                <w:rFonts w:ascii="Times New Roman" w:eastAsia="Times New Roman"/>
                <w:sz w:val="21"/>
              </w:rPr>
              <w:t>52%</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trPr>
        <w:tc>
          <w:tcPr>
            <w:tcW w:w="695" w:type="dxa"/>
            <w:vMerge w:val="continue"/>
            <w:tcBorders>
              <w:top w:val="nil"/>
            </w:tcBorders>
          </w:tcPr>
          <w:p>
            <w:pPr>
              <w:rPr>
                <w:sz w:val="2"/>
                <w:szCs w:val="2"/>
              </w:rPr>
            </w:pPr>
          </w:p>
        </w:tc>
        <w:tc>
          <w:tcPr>
            <w:tcW w:w="8185" w:type="dxa"/>
            <w:gridSpan w:val="6"/>
          </w:tcPr>
          <w:p>
            <w:pPr>
              <w:pStyle w:val="11"/>
              <w:spacing w:before="42"/>
              <w:ind w:left="107"/>
              <w:rPr>
                <w:rFonts w:hint="eastAsia" w:ascii="黑体" w:eastAsia="黑体"/>
                <w:sz w:val="24"/>
              </w:rPr>
            </w:pPr>
            <w:r>
              <w:rPr>
                <w:rFonts w:hint="eastAsia" w:ascii="黑体" w:eastAsia="黑体"/>
                <w:sz w:val="24"/>
              </w:rPr>
              <w:t>政府工作指标</w:t>
            </w:r>
          </w:p>
        </w:tc>
      </w:tr>
    </w:tbl>
    <w:p>
      <w:pPr>
        <w:spacing w:after="0"/>
        <w:rPr>
          <w:rFonts w:hint="eastAsia" w:ascii="黑体" w:eastAsia="黑体"/>
          <w:sz w:val="24"/>
        </w:rPr>
        <w:sectPr>
          <w:footerReference r:id="rId4" w:type="default"/>
          <w:pgSz w:w="11910" w:h="16840"/>
          <w:pgMar w:top="1420" w:right="1140" w:bottom="1300" w:left="1400" w:header="0" w:footer="1120" w:gutter="0"/>
          <w:pgNumType w:start="1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Pr>
          <w:p>
            <w:pPr>
              <w:pStyle w:val="11"/>
              <w:rPr>
                <w:rFonts w:ascii="Times New Roman"/>
                <w:sz w:val="22"/>
              </w:rPr>
            </w:pPr>
          </w:p>
        </w:tc>
        <w:tc>
          <w:tcPr>
            <w:tcW w:w="693" w:type="dxa"/>
            <w:vMerge w:val="restart"/>
          </w:tcPr>
          <w:p>
            <w:pPr>
              <w:pStyle w:val="11"/>
              <w:spacing w:before="7"/>
              <w:rPr>
                <w:rFonts w:ascii="宋体"/>
                <w:b/>
                <w:sz w:val="28"/>
              </w:rPr>
            </w:pPr>
          </w:p>
          <w:p>
            <w:pPr>
              <w:pStyle w:val="11"/>
              <w:ind w:left="225"/>
              <w:rPr>
                <w:rFonts w:ascii="Times New Roman"/>
                <w:sz w:val="24"/>
              </w:rPr>
            </w:pPr>
            <w:r>
              <w:rPr>
                <w:rFonts w:ascii="Times New Roman"/>
                <w:sz w:val="24"/>
              </w:rPr>
              <w:t>19</w:t>
            </w:r>
          </w:p>
        </w:tc>
        <w:tc>
          <w:tcPr>
            <w:tcW w:w="3458" w:type="dxa"/>
          </w:tcPr>
          <w:p>
            <w:pPr>
              <w:pStyle w:val="11"/>
              <w:spacing w:before="45"/>
              <w:ind w:left="108"/>
              <w:rPr>
                <w:rFonts w:hint="eastAsia" w:ascii="仿宋" w:eastAsia="仿宋"/>
                <w:b/>
                <w:sz w:val="24"/>
              </w:rPr>
            </w:pPr>
            <w:r>
              <w:rPr>
                <w:rFonts w:hint="eastAsia" w:ascii="仿宋" w:eastAsia="仿宋"/>
                <w:b/>
                <w:sz w:val="24"/>
              </w:rPr>
              <w:t>每万人营养指导员（名）</w:t>
            </w:r>
          </w:p>
        </w:tc>
        <w:tc>
          <w:tcPr>
            <w:tcW w:w="1282" w:type="dxa"/>
          </w:tcPr>
          <w:p>
            <w:pPr>
              <w:pStyle w:val="11"/>
              <w:spacing w:before="61"/>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61"/>
              <w:ind w:left="12"/>
              <w:jc w:val="center"/>
              <w:rPr>
                <w:rFonts w:ascii="Times New Roman"/>
                <w:sz w:val="24"/>
              </w:rPr>
            </w:pPr>
            <w:r>
              <w:rPr>
                <w:rFonts w:ascii="Times New Roman"/>
                <w:sz w:val="24"/>
              </w:rPr>
              <w:t>1</w:t>
            </w:r>
          </w:p>
        </w:tc>
        <w:tc>
          <w:tcPr>
            <w:tcW w:w="1050" w:type="dxa"/>
          </w:tcPr>
          <w:p>
            <w:pPr>
              <w:pStyle w:val="11"/>
              <w:spacing w:before="45"/>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9"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28" w:line="242" w:lineRule="auto"/>
              <w:ind w:left="108" w:right="92"/>
              <w:rPr>
                <w:sz w:val="21"/>
              </w:rPr>
            </w:pPr>
            <w:r>
              <w:rPr>
                <w:spacing w:val="-7"/>
                <w:w w:val="95"/>
                <w:sz w:val="21"/>
              </w:rPr>
              <w:t xml:space="preserve">说明：营养指导员是指可以为居民提供合理膳食、均衡营养指导的人员。合理膳  </w:t>
            </w:r>
            <w:r>
              <w:rPr>
                <w:spacing w:val="-7"/>
                <w:sz w:val="21"/>
              </w:rPr>
              <w:t>食、均衡营养可以有效减少相关慢性病的发生，还可有效促进患者康复。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178"/>
              <w:ind w:left="154"/>
              <w:rPr>
                <w:rFonts w:hint="eastAsia" w:ascii="黑体" w:eastAsia="黑体"/>
                <w:sz w:val="24"/>
              </w:rPr>
            </w:pPr>
            <w:r>
              <w:rPr>
                <w:rFonts w:hint="eastAsia" w:ascii="黑体" w:eastAsia="黑体"/>
                <w:w w:val="80"/>
                <w:sz w:val="24"/>
              </w:rPr>
              <w:t>（三</w:t>
            </w:r>
          </w:p>
          <w:p>
            <w:pPr>
              <w:pStyle w:val="11"/>
              <w:spacing w:before="4" w:line="242" w:lineRule="auto"/>
              <w:ind w:left="226" w:right="211" w:firstLine="24"/>
              <w:jc w:val="both"/>
              <w:rPr>
                <w:rFonts w:hint="eastAsia" w:ascii="黑体" w:eastAsia="黑体"/>
                <w:sz w:val="24"/>
              </w:rPr>
            </w:pPr>
            <w:r>
              <w:rPr>
                <w:rFonts w:hint="eastAsia" w:ascii="黑体" w:eastAsia="黑体"/>
                <w:w w:val="85"/>
                <w:sz w:val="24"/>
              </w:rPr>
              <w:t xml:space="preserve">） </w:t>
            </w:r>
            <w:r>
              <w:rPr>
                <w:rFonts w:hint="eastAsia" w:ascii="黑体" w:eastAsia="黑体"/>
                <w:sz w:val="24"/>
              </w:rPr>
              <w:t>全民健身行动</w:t>
            </w:r>
          </w:p>
        </w:tc>
        <w:tc>
          <w:tcPr>
            <w:tcW w:w="8185" w:type="dxa"/>
            <w:gridSpan w:val="6"/>
          </w:tcPr>
          <w:p>
            <w:pPr>
              <w:pStyle w:val="11"/>
              <w:spacing w:before="44"/>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695" w:type="dxa"/>
            <w:vMerge w:val="continue"/>
            <w:tcBorders>
              <w:top w:val="nil"/>
            </w:tcBorders>
          </w:tcPr>
          <w:p>
            <w:pPr>
              <w:rPr>
                <w:sz w:val="2"/>
                <w:szCs w:val="2"/>
              </w:rPr>
            </w:pPr>
          </w:p>
        </w:tc>
        <w:tc>
          <w:tcPr>
            <w:tcW w:w="693" w:type="dxa"/>
            <w:vMerge w:val="restart"/>
          </w:tcPr>
          <w:p>
            <w:pPr>
              <w:pStyle w:val="11"/>
              <w:spacing w:before="8"/>
              <w:rPr>
                <w:rFonts w:ascii="宋体"/>
                <w:b/>
                <w:sz w:val="29"/>
              </w:rPr>
            </w:pPr>
          </w:p>
          <w:p>
            <w:pPr>
              <w:pStyle w:val="11"/>
              <w:ind w:left="225"/>
              <w:rPr>
                <w:rFonts w:ascii="Times New Roman"/>
                <w:sz w:val="24"/>
              </w:rPr>
            </w:pPr>
            <w:r>
              <w:rPr>
                <w:rFonts w:ascii="Times New Roman"/>
                <w:sz w:val="24"/>
              </w:rPr>
              <w:t>20</w:t>
            </w:r>
          </w:p>
        </w:tc>
        <w:tc>
          <w:tcPr>
            <w:tcW w:w="3458" w:type="dxa"/>
          </w:tcPr>
          <w:p>
            <w:pPr>
              <w:pStyle w:val="11"/>
              <w:spacing w:before="1"/>
              <w:ind w:left="108"/>
              <w:rPr>
                <w:rFonts w:hint="eastAsia" w:ascii="仿宋" w:eastAsia="仿宋"/>
                <w:b/>
                <w:sz w:val="24"/>
              </w:rPr>
            </w:pPr>
            <w:r>
              <w:rPr>
                <w:rFonts w:hint="eastAsia" w:ascii="仿宋" w:eastAsia="仿宋"/>
                <w:b/>
                <w:spacing w:val="-8"/>
                <w:sz w:val="24"/>
              </w:rPr>
              <w:t>城乡居民达到《国民体质测定标</w:t>
            </w:r>
          </w:p>
          <w:p>
            <w:pPr>
              <w:pStyle w:val="11"/>
              <w:spacing w:before="5" w:line="289" w:lineRule="exact"/>
              <w:ind w:left="108"/>
              <w:rPr>
                <w:rFonts w:hint="eastAsia" w:ascii="仿宋" w:eastAsia="仿宋"/>
                <w:b/>
                <w:sz w:val="24"/>
              </w:rPr>
            </w:pPr>
            <w:r>
              <w:rPr>
                <w:rFonts w:hint="eastAsia" w:ascii="仿宋" w:eastAsia="仿宋"/>
                <w:b/>
                <w:spacing w:val="-20"/>
                <w:sz w:val="24"/>
              </w:rPr>
              <w:t>准》合格以上的人数比例</w:t>
            </w:r>
            <w:r>
              <w:rPr>
                <w:rFonts w:hint="eastAsia" w:ascii="仿宋" w:eastAsia="仿宋"/>
                <w:b/>
                <w:spacing w:val="-11"/>
                <w:sz w:val="24"/>
              </w:rPr>
              <w:t>（</w:t>
            </w:r>
            <w:r>
              <w:rPr>
                <w:rFonts w:ascii="Times New Roman" w:eastAsia="Times New Roman"/>
                <w:b/>
                <w:spacing w:val="-11"/>
                <w:sz w:val="24"/>
              </w:rPr>
              <w:t>%</w:t>
            </w:r>
            <w:r>
              <w:rPr>
                <w:rFonts w:hint="eastAsia" w:ascii="仿宋" w:eastAsia="仿宋"/>
                <w:b/>
                <w:spacing w:val="-11"/>
                <w:sz w:val="24"/>
              </w:rPr>
              <w:t>）</w:t>
            </w:r>
          </w:p>
        </w:tc>
        <w:tc>
          <w:tcPr>
            <w:tcW w:w="1282" w:type="dxa"/>
          </w:tcPr>
          <w:p>
            <w:pPr>
              <w:pStyle w:val="11"/>
              <w:spacing w:before="18"/>
              <w:ind w:left="89" w:right="116"/>
              <w:jc w:val="center"/>
              <w:rPr>
                <w:rFonts w:hint="eastAsia" w:ascii="仿宋" w:eastAsia="仿宋"/>
                <w:sz w:val="24"/>
              </w:rPr>
            </w:pPr>
            <w:r>
              <w:rPr>
                <w:rFonts w:ascii="Times New Roman" w:eastAsia="Times New Roman"/>
                <w:sz w:val="24"/>
              </w:rPr>
              <w:t xml:space="preserve">2014 </w:t>
            </w:r>
            <w:r>
              <w:rPr>
                <w:rFonts w:hint="eastAsia" w:ascii="仿宋" w:eastAsia="仿宋"/>
                <w:sz w:val="24"/>
              </w:rPr>
              <w:t>年为</w:t>
            </w:r>
          </w:p>
          <w:p>
            <w:pPr>
              <w:pStyle w:val="11"/>
              <w:spacing w:before="1" w:line="276" w:lineRule="exact"/>
              <w:ind w:left="89" w:right="76"/>
              <w:jc w:val="center"/>
              <w:rPr>
                <w:rFonts w:ascii="Times New Roman"/>
                <w:sz w:val="24"/>
              </w:rPr>
            </w:pPr>
            <w:r>
              <w:rPr>
                <w:rFonts w:ascii="Times New Roman"/>
                <w:sz w:val="24"/>
              </w:rPr>
              <w:t>89.6</w:t>
            </w:r>
          </w:p>
        </w:tc>
        <w:tc>
          <w:tcPr>
            <w:tcW w:w="851" w:type="dxa"/>
          </w:tcPr>
          <w:p>
            <w:pPr>
              <w:pStyle w:val="11"/>
              <w:spacing w:before="173"/>
              <w:ind w:left="65" w:right="56"/>
              <w:jc w:val="center"/>
              <w:rPr>
                <w:rFonts w:ascii="Times New Roman" w:hAnsi="Times New Roman"/>
                <w:sz w:val="24"/>
              </w:rPr>
            </w:pPr>
            <w:r>
              <w:rPr>
                <w:rFonts w:ascii="Times New Roman" w:hAnsi="Times New Roman"/>
                <w:sz w:val="24"/>
              </w:rPr>
              <w:t>≥90.86</w:t>
            </w:r>
          </w:p>
        </w:tc>
        <w:tc>
          <w:tcPr>
            <w:tcW w:w="851" w:type="dxa"/>
          </w:tcPr>
          <w:p>
            <w:pPr>
              <w:pStyle w:val="11"/>
              <w:spacing w:before="173"/>
              <w:ind w:left="66" w:right="55"/>
              <w:jc w:val="center"/>
              <w:rPr>
                <w:rFonts w:ascii="Times New Roman" w:hAnsi="Times New Roman"/>
                <w:sz w:val="24"/>
              </w:rPr>
            </w:pPr>
            <w:r>
              <w:rPr>
                <w:rFonts w:ascii="Times New Roman" w:hAnsi="Times New Roman"/>
                <w:sz w:val="24"/>
              </w:rPr>
              <w:t>≥92.17</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63"/>
              <w:ind w:left="108"/>
              <w:rPr>
                <w:sz w:val="21"/>
              </w:rPr>
            </w:pPr>
            <w:r>
              <w:rPr>
                <w:sz w:val="21"/>
              </w:rPr>
              <w:t xml:space="preserve">说明：《国民体质测定标准》由国家体育总局等 </w:t>
            </w:r>
            <w:r>
              <w:rPr>
                <w:rFonts w:ascii="Times New Roman" w:eastAsia="Times New Roman"/>
                <w:sz w:val="21"/>
              </w:rPr>
              <w:t xml:space="preserve">11 </w:t>
            </w:r>
            <w:r>
              <w:rPr>
                <w:sz w:val="21"/>
              </w:rPr>
              <w:t xml:space="preserve">个部门在 </w:t>
            </w:r>
            <w:r>
              <w:rPr>
                <w:rFonts w:ascii="Times New Roman" w:eastAsia="Times New Roman"/>
                <w:sz w:val="21"/>
              </w:rPr>
              <w:t xml:space="preserve">2003 </w:t>
            </w:r>
            <w:r>
              <w:rPr>
                <w:sz w:val="21"/>
              </w:rPr>
              <w:t>年发布。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11"/>
              <w:rPr>
                <w:rFonts w:ascii="宋体"/>
                <w:b/>
                <w:sz w:val="19"/>
              </w:rPr>
            </w:pPr>
          </w:p>
          <w:p>
            <w:pPr>
              <w:pStyle w:val="11"/>
              <w:ind w:left="225"/>
              <w:rPr>
                <w:rFonts w:ascii="Times New Roman"/>
                <w:sz w:val="24"/>
              </w:rPr>
            </w:pPr>
            <w:r>
              <w:rPr>
                <w:rFonts w:ascii="Times New Roman"/>
                <w:sz w:val="24"/>
              </w:rPr>
              <w:t>21</w:t>
            </w:r>
          </w:p>
        </w:tc>
        <w:tc>
          <w:tcPr>
            <w:tcW w:w="3458" w:type="dxa"/>
          </w:tcPr>
          <w:p>
            <w:pPr>
              <w:pStyle w:val="11"/>
              <w:ind w:left="108"/>
              <w:rPr>
                <w:rFonts w:hint="eastAsia" w:ascii="仿宋" w:eastAsia="仿宋"/>
                <w:b/>
                <w:sz w:val="24"/>
              </w:rPr>
            </w:pPr>
            <w:r>
              <w:rPr>
                <w:rFonts w:hint="eastAsia" w:ascii="仿宋" w:eastAsia="仿宋"/>
                <w:b/>
                <w:sz w:val="24"/>
              </w:rPr>
              <w:t>经常参加体育锻炼人数比例</w:t>
            </w:r>
          </w:p>
          <w:p>
            <w:pPr>
              <w:pStyle w:val="11"/>
              <w:spacing w:before="5" w:line="290" w:lineRule="exact"/>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17"/>
              <w:ind w:left="89" w:right="116"/>
              <w:jc w:val="center"/>
              <w:rPr>
                <w:rFonts w:hint="eastAsia" w:ascii="仿宋" w:eastAsia="仿宋"/>
                <w:sz w:val="24"/>
              </w:rPr>
            </w:pPr>
            <w:r>
              <w:rPr>
                <w:rFonts w:ascii="Times New Roman" w:eastAsia="Times New Roman"/>
                <w:sz w:val="24"/>
              </w:rPr>
              <w:t xml:space="preserve">2014 </w:t>
            </w:r>
            <w:r>
              <w:rPr>
                <w:rFonts w:hint="eastAsia" w:ascii="仿宋" w:eastAsia="仿宋"/>
                <w:sz w:val="24"/>
              </w:rPr>
              <w:t>年为</w:t>
            </w:r>
          </w:p>
          <w:p>
            <w:pPr>
              <w:pStyle w:val="11"/>
              <w:spacing w:before="1"/>
              <w:ind w:left="89" w:right="76"/>
              <w:jc w:val="center"/>
              <w:rPr>
                <w:rFonts w:ascii="Times New Roman"/>
                <w:sz w:val="24"/>
              </w:rPr>
            </w:pPr>
            <w:r>
              <w:rPr>
                <w:rFonts w:ascii="Times New Roman"/>
                <w:sz w:val="24"/>
              </w:rPr>
              <w:t>33.9</w:t>
            </w:r>
          </w:p>
        </w:tc>
        <w:tc>
          <w:tcPr>
            <w:tcW w:w="851" w:type="dxa"/>
          </w:tcPr>
          <w:p>
            <w:pPr>
              <w:pStyle w:val="11"/>
              <w:spacing w:before="172"/>
              <w:ind w:left="66" w:right="52"/>
              <w:jc w:val="center"/>
              <w:rPr>
                <w:rFonts w:ascii="Times New Roman" w:hAnsi="Times New Roman"/>
                <w:sz w:val="24"/>
              </w:rPr>
            </w:pPr>
            <w:r>
              <w:rPr>
                <w:rFonts w:ascii="Times New Roman" w:hAnsi="Times New Roman"/>
                <w:sz w:val="24"/>
              </w:rPr>
              <w:t>≥37</w:t>
            </w:r>
          </w:p>
        </w:tc>
        <w:tc>
          <w:tcPr>
            <w:tcW w:w="851" w:type="dxa"/>
          </w:tcPr>
          <w:p>
            <w:pPr>
              <w:pStyle w:val="11"/>
              <w:spacing w:before="172"/>
              <w:ind w:left="66" w:right="53"/>
              <w:jc w:val="center"/>
              <w:rPr>
                <w:rFonts w:ascii="Times New Roman" w:hAnsi="Times New Roman"/>
                <w:sz w:val="24"/>
              </w:rPr>
            </w:pPr>
            <w:r>
              <w:rPr>
                <w:rFonts w:ascii="Times New Roman" w:hAnsi="Times New Roman"/>
                <w:sz w:val="24"/>
              </w:rPr>
              <w:t>≥40</w:t>
            </w:r>
          </w:p>
        </w:tc>
        <w:tc>
          <w:tcPr>
            <w:tcW w:w="1050" w:type="dxa"/>
          </w:tcPr>
          <w:p>
            <w:pPr>
              <w:pStyle w:val="11"/>
              <w:spacing w:before="156"/>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ind w:left="108"/>
              <w:rPr>
                <w:sz w:val="21"/>
              </w:rPr>
            </w:pPr>
            <w:r>
              <w:rPr>
                <w:spacing w:val="-21"/>
                <w:sz w:val="21"/>
              </w:rPr>
              <w:t>说明：经常参加体育锻炼是指每周参加体育锻炼频度</w:t>
            </w:r>
            <w:r>
              <w:rPr>
                <w:rFonts w:ascii="Times New Roman" w:eastAsia="Times New Roman"/>
                <w:sz w:val="21"/>
              </w:rPr>
              <w:t xml:space="preserve">3 </w:t>
            </w:r>
            <w:r>
              <w:rPr>
                <w:spacing w:val="-22"/>
                <w:sz w:val="21"/>
              </w:rPr>
              <w:t>次及以上，每次体育锻炼持续时</w:t>
            </w:r>
          </w:p>
          <w:p>
            <w:pPr>
              <w:pStyle w:val="11"/>
              <w:spacing w:before="4" w:line="270" w:lineRule="atLeast"/>
              <w:ind w:left="108" w:right="75"/>
              <w:rPr>
                <w:sz w:val="21"/>
              </w:rPr>
            </w:pPr>
            <w:r>
              <w:rPr>
                <w:spacing w:val="33"/>
                <w:sz w:val="21"/>
              </w:rPr>
              <w:t>间</w:t>
            </w:r>
            <w:r>
              <w:rPr>
                <w:rFonts w:ascii="Times New Roman" w:eastAsia="Times New Roman"/>
                <w:spacing w:val="-4"/>
                <w:sz w:val="21"/>
              </w:rPr>
              <w:t xml:space="preserve">30 </w:t>
            </w:r>
            <w:r>
              <w:rPr>
                <w:spacing w:val="-17"/>
                <w:sz w:val="21"/>
              </w:rPr>
              <w:t>分钟及以上，每次体育锻炼的运动强度达到中等及以上。中等运动强度是指在运</w:t>
            </w:r>
            <w:r>
              <w:rPr>
                <w:spacing w:val="-13"/>
                <w:sz w:val="21"/>
              </w:rPr>
              <w:t>动时心率达到最大心率的</w:t>
            </w:r>
            <w:r>
              <w:rPr>
                <w:rFonts w:ascii="Times New Roman" w:eastAsia="Times New Roman"/>
                <w:spacing w:val="-9"/>
                <w:sz w:val="21"/>
              </w:rPr>
              <w:t>64%</w:t>
            </w:r>
            <w:r>
              <w:rPr>
                <w:spacing w:val="-9"/>
                <w:sz w:val="21"/>
              </w:rPr>
              <w:t>～</w:t>
            </w:r>
            <w:r>
              <w:rPr>
                <w:rFonts w:ascii="Times New Roman" w:eastAsia="Times New Roman"/>
                <w:spacing w:val="-9"/>
                <w:sz w:val="21"/>
              </w:rPr>
              <w:t>76%</w:t>
            </w:r>
            <w:r>
              <w:rPr>
                <w:spacing w:val="-16"/>
                <w:sz w:val="21"/>
              </w:rPr>
              <w:t>的运动强度</w:t>
            </w:r>
            <w:r>
              <w:rPr>
                <w:spacing w:val="-15"/>
                <w:sz w:val="21"/>
              </w:rPr>
              <w:t>（</w:t>
            </w:r>
            <w:r>
              <w:rPr>
                <w:spacing w:val="-8"/>
                <w:sz w:val="21"/>
              </w:rPr>
              <w:t>最大心率等于</w:t>
            </w:r>
            <w:r>
              <w:rPr>
                <w:rFonts w:ascii="Times New Roman" w:eastAsia="Times New Roman"/>
                <w:spacing w:val="-5"/>
                <w:sz w:val="21"/>
              </w:rPr>
              <w:t xml:space="preserve">220 </w:t>
            </w:r>
            <w:r>
              <w:rPr>
                <w:spacing w:val="-16"/>
                <w:sz w:val="21"/>
              </w:rPr>
              <w:t>减去年龄</w:t>
            </w:r>
            <w:r>
              <w:rPr>
                <w:spacing w:val="-15"/>
                <w:sz w:val="21"/>
              </w:rPr>
              <w:t>）</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2"/>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tcPr>
          <w:p>
            <w:pPr>
              <w:pStyle w:val="11"/>
              <w:spacing w:before="59"/>
              <w:ind w:left="225"/>
              <w:rPr>
                <w:rFonts w:ascii="Times New Roman"/>
                <w:sz w:val="24"/>
              </w:rPr>
            </w:pPr>
            <w:r>
              <w:rPr>
                <w:rFonts w:ascii="Times New Roman"/>
                <w:sz w:val="24"/>
              </w:rPr>
              <w:t>22</w:t>
            </w:r>
          </w:p>
        </w:tc>
        <w:tc>
          <w:tcPr>
            <w:tcW w:w="6442" w:type="dxa"/>
            <w:gridSpan w:val="4"/>
          </w:tcPr>
          <w:p>
            <w:pPr>
              <w:pStyle w:val="11"/>
              <w:spacing w:before="43"/>
              <w:ind w:left="108"/>
              <w:rPr>
                <w:rFonts w:hint="eastAsia" w:ascii="仿宋" w:eastAsia="仿宋"/>
                <w:b/>
                <w:sz w:val="24"/>
              </w:rPr>
            </w:pPr>
            <w:r>
              <w:rPr>
                <w:rFonts w:hint="eastAsia" w:ascii="仿宋" w:eastAsia="仿宋"/>
                <w:b/>
                <w:sz w:val="24"/>
              </w:rPr>
              <w:t>机关、企事业单位积极开展工间操</w:t>
            </w:r>
          </w:p>
        </w:tc>
        <w:tc>
          <w:tcPr>
            <w:tcW w:w="1050" w:type="dxa"/>
          </w:tcPr>
          <w:p>
            <w:pPr>
              <w:pStyle w:val="11"/>
              <w:spacing w:before="43"/>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6" w:hRule="atLeast"/>
        </w:trPr>
        <w:tc>
          <w:tcPr>
            <w:tcW w:w="695" w:type="dxa"/>
            <w:vMerge w:val="continue"/>
            <w:tcBorders>
              <w:top w:val="nil"/>
            </w:tcBorders>
          </w:tcPr>
          <w:p>
            <w:pPr>
              <w:rPr>
                <w:sz w:val="2"/>
                <w:szCs w:val="2"/>
              </w:rPr>
            </w:pPr>
          </w:p>
        </w:tc>
        <w:tc>
          <w:tcPr>
            <w:tcW w:w="693" w:type="dxa"/>
          </w:tcPr>
          <w:p>
            <w:pPr>
              <w:pStyle w:val="11"/>
              <w:spacing w:before="6"/>
              <w:rPr>
                <w:rFonts w:ascii="宋体"/>
                <w:b/>
                <w:sz w:val="19"/>
              </w:rPr>
            </w:pPr>
          </w:p>
          <w:p>
            <w:pPr>
              <w:pStyle w:val="11"/>
              <w:ind w:left="225"/>
              <w:rPr>
                <w:rFonts w:ascii="Times New Roman"/>
                <w:sz w:val="24"/>
              </w:rPr>
            </w:pPr>
            <w:r>
              <w:rPr>
                <w:rFonts w:ascii="Times New Roman"/>
                <w:sz w:val="24"/>
              </w:rPr>
              <w:t>23</w:t>
            </w:r>
          </w:p>
        </w:tc>
        <w:tc>
          <w:tcPr>
            <w:tcW w:w="6442" w:type="dxa"/>
            <w:gridSpan w:val="4"/>
          </w:tcPr>
          <w:p>
            <w:pPr>
              <w:pStyle w:val="11"/>
              <w:spacing w:before="77"/>
              <w:ind w:left="108"/>
              <w:rPr>
                <w:rFonts w:hint="eastAsia" w:ascii="仿宋" w:eastAsia="仿宋"/>
                <w:b/>
                <w:sz w:val="24"/>
              </w:rPr>
            </w:pPr>
            <w:r>
              <w:rPr>
                <w:rFonts w:hint="eastAsia" w:ascii="仿宋" w:eastAsia="仿宋"/>
                <w:b/>
                <w:spacing w:val="-8"/>
                <w:sz w:val="24"/>
              </w:rPr>
              <w:t xml:space="preserve">鼓励个人至少有 </w:t>
            </w:r>
            <w:r>
              <w:rPr>
                <w:rFonts w:ascii="Times New Roman" w:eastAsia="Times New Roman"/>
                <w:b/>
                <w:sz w:val="24"/>
              </w:rPr>
              <w:t xml:space="preserve">1 </w:t>
            </w:r>
            <w:r>
              <w:rPr>
                <w:rFonts w:hint="eastAsia" w:ascii="仿宋" w:eastAsia="仿宋"/>
                <w:b/>
                <w:spacing w:val="-3"/>
                <w:sz w:val="24"/>
              </w:rPr>
              <w:t>项运动爱好或掌握一项传统运动项目，参</w:t>
            </w:r>
          </w:p>
          <w:p>
            <w:pPr>
              <w:pStyle w:val="11"/>
              <w:spacing w:before="5"/>
              <w:ind w:left="108"/>
              <w:rPr>
                <w:rFonts w:hint="eastAsia" w:ascii="仿宋" w:eastAsia="仿宋"/>
                <w:b/>
                <w:sz w:val="24"/>
              </w:rPr>
            </w:pPr>
            <w:r>
              <w:rPr>
                <w:rFonts w:hint="eastAsia" w:ascii="仿宋" w:eastAsia="仿宋"/>
                <w:b/>
                <w:sz w:val="24"/>
              </w:rPr>
              <w:t xml:space="preserve">加至少 </w:t>
            </w:r>
            <w:r>
              <w:rPr>
                <w:rFonts w:ascii="Times New Roman" w:eastAsia="Times New Roman"/>
                <w:b/>
                <w:sz w:val="24"/>
              </w:rPr>
              <w:t xml:space="preserve">1 </w:t>
            </w:r>
            <w:r>
              <w:rPr>
                <w:rFonts w:hint="eastAsia" w:ascii="仿宋" w:eastAsia="仿宋"/>
                <w:b/>
                <w:sz w:val="24"/>
              </w:rPr>
              <w:t>个健身组织，每天进行中等强度运动至少半小时</w:t>
            </w:r>
          </w:p>
        </w:tc>
        <w:tc>
          <w:tcPr>
            <w:tcW w:w="1050" w:type="dxa"/>
          </w:tcPr>
          <w:p>
            <w:pPr>
              <w:pStyle w:val="11"/>
              <w:spacing w:before="3"/>
              <w:rPr>
                <w:rFonts w:ascii="宋体"/>
                <w:b/>
                <w:sz w:val="18"/>
              </w:rPr>
            </w:pPr>
          </w:p>
          <w:p>
            <w:pPr>
              <w:pStyle w:val="11"/>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5"/>
              <w:rPr>
                <w:rFonts w:ascii="宋体"/>
                <w:b/>
                <w:sz w:val="35"/>
              </w:rPr>
            </w:pPr>
          </w:p>
          <w:p>
            <w:pPr>
              <w:pStyle w:val="11"/>
              <w:ind w:left="225"/>
              <w:rPr>
                <w:rFonts w:ascii="Times New Roman"/>
                <w:sz w:val="24"/>
              </w:rPr>
            </w:pPr>
            <w:r>
              <w:rPr>
                <w:rFonts w:ascii="Times New Roman"/>
                <w:sz w:val="24"/>
              </w:rPr>
              <w:t>24</w:t>
            </w:r>
          </w:p>
        </w:tc>
        <w:tc>
          <w:tcPr>
            <w:tcW w:w="6442" w:type="dxa"/>
            <w:gridSpan w:val="4"/>
          </w:tcPr>
          <w:p>
            <w:pPr>
              <w:pStyle w:val="11"/>
              <w:spacing w:before="44" w:line="242" w:lineRule="auto"/>
              <w:ind w:left="108" w:right="67"/>
              <w:jc w:val="both"/>
              <w:rPr>
                <w:rFonts w:hint="eastAsia" w:ascii="仿宋" w:eastAsia="仿宋"/>
                <w:b/>
                <w:sz w:val="24"/>
              </w:rPr>
            </w:pPr>
            <w:r>
              <w:rPr>
                <w:rFonts w:hint="eastAsia" w:ascii="仿宋" w:eastAsia="仿宋"/>
                <w:b/>
                <w:spacing w:val="-2"/>
                <w:sz w:val="24"/>
              </w:rPr>
              <w:t>鼓励医疗机构提供运动促进健康的指导服务，鼓励引导社会</w:t>
            </w:r>
            <w:r>
              <w:rPr>
                <w:rFonts w:hint="eastAsia" w:ascii="仿宋" w:eastAsia="仿宋"/>
                <w:b/>
                <w:spacing w:val="8"/>
                <w:w w:val="95"/>
                <w:sz w:val="24"/>
              </w:rPr>
              <w:t xml:space="preserve">体育指导员在健身场所等地方为群众提供科学健身指导服 </w:t>
            </w:r>
            <w:r>
              <w:rPr>
                <w:rFonts w:hint="eastAsia" w:ascii="仿宋" w:eastAsia="仿宋"/>
                <w:b/>
                <w:spacing w:val="8"/>
                <w:sz w:val="24"/>
              </w:rPr>
              <w:t>务，提高健身效果，预防运动损伤</w:t>
            </w:r>
          </w:p>
        </w:tc>
        <w:tc>
          <w:tcPr>
            <w:tcW w:w="1050" w:type="dxa"/>
          </w:tcPr>
          <w:p>
            <w:pPr>
              <w:pStyle w:val="11"/>
              <w:spacing w:before="10"/>
              <w:rPr>
                <w:rFonts w:ascii="宋体"/>
                <w:b/>
                <w:sz w:val="27"/>
              </w:rPr>
            </w:pPr>
          </w:p>
          <w:p>
            <w:pPr>
              <w:pStyle w:val="11"/>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line="269" w:lineRule="exact"/>
              <w:ind w:left="108"/>
              <w:rPr>
                <w:sz w:val="21"/>
              </w:rPr>
            </w:pPr>
            <w:r>
              <w:rPr>
                <w:sz w:val="21"/>
              </w:rPr>
              <w:t>说明：社会体育指导员是指不以收取报酬为目的，向公众提供传授健身技能、组</w:t>
            </w:r>
          </w:p>
          <w:p>
            <w:pPr>
              <w:pStyle w:val="11"/>
              <w:spacing w:before="3" w:line="270" w:lineRule="atLeast"/>
              <w:ind w:left="108" w:right="92"/>
              <w:rPr>
                <w:sz w:val="21"/>
              </w:rPr>
            </w:pPr>
            <w:r>
              <w:rPr>
                <w:spacing w:val="-8"/>
                <w:w w:val="95"/>
                <w:sz w:val="21"/>
              </w:rPr>
              <w:t xml:space="preserve">织健身活动、宣传科学健身知识等全民健身志愿服务，并获得技术等级称号的人  </w:t>
            </w:r>
            <w:r>
              <w:rPr>
                <w:spacing w:val="-8"/>
                <w:sz w:val="21"/>
              </w:rPr>
              <w:t>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8" w:hRule="atLeast"/>
        </w:trPr>
        <w:tc>
          <w:tcPr>
            <w:tcW w:w="695" w:type="dxa"/>
            <w:vMerge w:val="continue"/>
            <w:tcBorders>
              <w:top w:val="nil"/>
            </w:tcBorders>
          </w:tcPr>
          <w:p>
            <w:pPr>
              <w:rPr>
                <w:sz w:val="2"/>
                <w:szCs w:val="2"/>
              </w:rPr>
            </w:pPr>
          </w:p>
        </w:tc>
        <w:tc>
          <w:tcPr>
            <w:tcW w:w="693" w:type="dxa"/>
          </w:tcPr>
          <w:p>
            <w:pPr>
              <w:pStyle w:val="11"/>
              <w:spacing w:before="10"/>
              <w:rPr>
                <w:rFonts w:ascii="宋体"/>
                <w:b/>
                <w:sz w:val="18"/>
              </w:rPr>
            </w:pPr>
          </w:p>
          <w:p>
            <w:pPr>
              <w:pStyle w:val="11"/>
              <w:ind w:left="225"/>
              <w:rPr>
                <w:rFonts w:ascii="Times New Roman"/>
                <w:sz w:val="24"/>
              </w:rPr>
            </w:pPr>
            <w:r>
              <w:rPr>
                <w:rFonts w:ascii="Times New Roman"/>
                <w:sz w:val="24"/>
              </w:rPr>
              <w:t>25</w:t>
            </w:r>
          </w:p>
        </w:tc>
        <w:tc>
          <w:tcPr>
            <w:tcW w:w="6442" w:type="dxa"/>
            <w:gridSpan w:val="4"/>
          </w:tcPr>
          <w:p>
            <w:pPr>
              <w:pStyle w:val="11"/>
              <w:spacing w:before="68" w:line="242" w:lineRule="auto"/>
              <w:ind w:left="108" w:right="27"/>
              <w:rPr>
                <w:rFonts w:hint="eastAsia" w:ascii="仿宋" w:eastAsia="仿宋"/>
                <w:b/>
                <w:sz w:val="24"/>
              </w:rPr>
            </w:pPr>
            <w:r>
              <w:rPr>
                <w:rFonts w:hint="eastAsia" w:ascii="仿宋" w:eastAsia="仿宋"/>
                <w:b/>
                <w:sz w:val="24"/>
              </w:rPr>
              <w:t>鼓励公共体育场地设施更多更好地提供免费或低收费开放服务，符合条件的企事业单位体育场地设施全部向社会开放</w:t>
            </w:r>
          </w:p>
        </w:tc>
        <w:tc>
          <w:tcPr>
            <w:tcW w:w="1050" w:type="dxa"/>
          </w:tcPr>
          <w:p>
            <w:pPr>
              <w:pStyle w:val="11"/>
              <w:spacing w:before="6"/>
              <w:rPr>
                <w:rFonts w:ascii="宋体"/>
                <w:b/>
                <w:sz w:val="17"/>
              </w:rPr>
            </w:pPr>
          </w:p>
          <w:p>
            <w:pPr>
              <w:pStyle w:val="11"/>
              <w:spacing w:before="1"/>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1" w:hRule="atLeast"/>
        </w:trPr>
        <w:tc>
          <w:tcPr>
            <w:tcW w:w="695" w:type="dxa"/>
            <w:vMerge w:val="continue"/>
            <w:tcBorders>
              <w:top w:val="nil"/>
            </w:tcBorders>
          </w:tcPr>
          <w:p>
            <w:pPr>
              <w:rPr>
                <w:sz w:val="2"/>
                <w:szCs w:val="2"/>
              </w:rPr>
            </w:pPr>
          </w:p>
        </w:tc>
        <w:tc>
          <w:tcPr>
            <w:tcW w:w="693" w:type="dxa"/>
          </w:tcPr>
          <w:p>
            <w:pPr>
              <w:pStyle w:val="11"/>
              <w:spacing w:before="173"/>
              <w:ind w:left="225"/>
              <w:rPr>
                <w:rFonts w:ascii="Times New Roman"/>
                <w:sz w:val="24"/>
              </w:rPr>
            </w:pPr>
            <w:r>
              <w:rPr>
                <w:rFonts w:ascii="Times New Roman"/>
                <w:sz w:val="24"/>
              </w:rPr>
              <w:t>26</w:t>
            </w:r>
          </w:p>
        </w:tc>
        <w:tc>
          <w:tcPr>
            <w:tcW w:w="3458" w:type="dxa"/>
          </w:tcPr>
          <w:p>
            <w:pPr>
              <w:pStyle w:val="11"/>
              <w:spacing w:before="1"/>
              <w:ind w:left="108"/>
              <w:rPr>
                <w:rFonts w:hint="eastAsia" w:ascii="仿宋" w:eastAsia="仿宋"/>
                <w:b/>
                <w:sz w:val="24"/>
              </w:rPr>
            </w:pPr>
            <w:r>
              <w:rPr>
                <w:rFonts w:hint="eastAsia" w:ascii="仿宋" w:eastAsia="仿宋"/>
                <w:b/>
                <w:sz w:val="24"/>
              </w:rPr>
              <w:t>城市慢跑步行道绿道的人均长</w:t>
            </w:r>
          </w:p>
          <w:p>
            <w:pPr>
              <w:pStyle w:val="11"/>
              <w:spacing w:before="4" w:line="289" w:lineRule="exact"/>
              <w:ind w:left="108"/>
              <w:rPr>
                <w:rFonts w:hint="eastAsia" w:ascii="仿宋" w:eastAsia="仿宋"/>
                <w:b/>
                <w:sz w:val="24"/>
              </w:rPr>
            </w:pPr>
            <w:r>
              <w:rPr>
                <w:rFonts w:hint="eastAsia" w:ascii="仿宋" w:eastAsia="仿宋"/>
                <w:b/>
                <w:sz w:val="24"/>
              </w:rPr>
              <w:t>度（</w:t>
            </w:r>
            <w:r>
              <w:rPr>
                <w:rFonts w:ascii="Times New Roman" w:eastAsia="Times New Roman"/>
                <w:b/>
                <w:sz w:val="24"/>
              </w:rPr>
              <w:t>m/</w:t>
            </w:r>
            <w:r>
              <w:rPr>
                <w:rFonts w:hint="eastAsia" w:ascii="仿宋" w:eastAsia="仿宋"/>
                <w:b/>
                <w:sz w:val="24"/>
              </w:rPr>
              <w:t>万人）</w:t>
            </w:r>
          </w:p>
        </w:tc>
        <w:tc>
          <w:tcPr>
            <w:tcW w:w="1282" w:type="dxa"/>
          </w:tcPr>
          <w:p>
            <w:pPr>
              <w:pStyle w:val="11"/>
              <w:spacing w:before="173"/>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157"/>
              <w:ind w:left="369"/>
              <w:rPr>
                <w:rFonts w:hint="eastAsia" w:ascii="仿宋" w:eastAsia="仿宋"/>
                <w:sz w:val="24"/>
              </w:rPr>
            </w:pPr>
            <w:r>
              <w:rPr>
                <w:rFonts w:hint="eastAsia" w:ascii="仿宋" w:eastAsia="仿宋"/>
                <w:sz w:val="24"/>
              </w:rPr>
              <w:t>持续提升</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695" w:type="dxa"/>
            <w:vMerge w:val="continue"/>
            <w:tcBorders>
              <w:top w:val="nil"/>
            </w:tcBorders>
          </w:tcPr>
          <w:p>
            <w:pPr>
              <w:rPr>
                <w:sz w:val="2"/>
                <w:szCs w:val="2"/>
              </w:rPr>
            </w:pPr>
          </w:p>
        </w:tc>
        <w:tc>
          <w:tcPr>
            <w:tcW w:w="693" w:type="dxa"/>
          </w:tcPr>
          <w:p>
            <w:pPr>
              <w:pStyle w:val="11"/>
              <w:spacing w:before="172"/>
              <w:ind w:left="225"/>
              <w:rPr>
                <w:rFonts w:ascii="Times New Roman"/>
                <w:sz w:val="24"/>
              </w:rPr>
            </w:pPr>
            <w:r>
              <w:rPr>
                <w:rFonts w:ascii="Times New Roman"/>
                <w:sz w:val="24"/>
              </w:rPr>
              <w:t>27</w:t>
            </w:r>
          </w:p>
        </w:tc>
        <w:tc>
          <w:tcPr>
            <w:tcW w:w="3458" w:type="dxa"/>
          </w:tcPr>
          <w:p>
            <w:pPr>
              <w:pStyle w:val="11"/>
              <w:spacing w:before="2"/>
              <w:ind w:left="108"/>
              <w:rPr>
                <w:rFonts w:hint="eastAsia" w:ascii="仿宋" w:eastAsia="仿宋"/>
                <w:b/>
                <w:sz w:val="24"/>
              </w:rPr>
            </w:pPr>
            <w:r>
              <w:rPr>
                <w:rFonts w:hint="eastAsia" w:ascii="仿宋" w:eastAsia="仿宋"/>
                <w:b/>
                <w:sz w:val="24"/>
              </w:rPr>
              <w:t>每千人拥有社会体育指导员</w:t>
            </w:r>
          </w:p>
          <w:p>
            <w:pPr>
              <w:pStyle w:val="11"/>
              <w:spacing w:before="2" w:line="291" w:lineRule="exact"/>
              <w:ind w:left="108"/>
              <w:rPr>
                <w:rFonts w:hint="eastAsia" w:ascii="仿宋" w:eastAsia="仿宋"/>
                <w:b/>
                <w:sz w:val="24"/>
              </w:rPr>
            </w:pPr>
            <w:r>
              <w:rPr>
                <w:rFonts w:hint="eastAsia" w:ascii="仿宋" w:eastAsia="仿宋"/>
                <w:b/>
                <w:sz w:val="24"/>
              </w:rPr>
              <w:t>（人）</w:t>
            </w:r>
          </w:p>
        </w:tc>
        <w:tc>
          <w:tcPr>
            <w:tcW w:w="1282" w:type="dxa"/>
          </w:tcPr>
          <w:p>
            <w:pPr>
              <w:pStyle w:val="11"/>
              <w:spacing w:before="172"/>
              <w:ind w:left="89" w:right="76"/>
              <w:jc w:val="center"/>
              <w:rPr>
                <w:rFonts w:ascii="Times New Roman"/>
                <w:sz w:val="24"/>
              </w:rPr>
            </w:pPr>
            <w:r>
              <w:rPr>
                <w:rFonts w:ascii="Times New Roman"/>
                <w:sz w:val="24"/>
              </w:rPr>
              <w:t>1.6</w:t>
            </w:r>
          </w:p>
        </w:tc>
        <w:tc>
          <w:tcPr>
            <w:tcW w:w="851" w:type="dxa"/>
          </w:tcPr>
          <w:p>
            <w:pPr>
              <w:pStyle w:val="11"/>
              <w:spacing w:before="172"/>
              <w:ind w:left="66" w:right="55"/>
              <w:jc w:val="center"/>
              <w:rPr>
                <w:rFonts w:ascii="Times New Roman"/>
                <w:sz w:val="24"/>
              </w:rPr>
            </w:pPr>
            <w:r>
              <w:rPr>
                <w:rFonts w:ascii="Times New Roman"/>
                <w:sz w:val="24"/>
              </w:rPr>
              <w:t>1.9</w:t>
            </w:r>
          </w:p>
        </w:tc>
        <w:tc>
          <w:tcPr>
            <w:tcW w:w="851" w:type="dxa"/>
          </w:tcPr>
          <w:p>
            <w:pPr>
              <w:pStyle w:val="11"/>
              <w:spacing w:before="172"/>
              <w:ind w:left="66" w:right="53"/>
              <w:jc w:val="center"/>
              <w:rPr>
                <w:rFonts w:ascii="Times New Roman"/>
                <w:sz w:val="24"/>
              </w:rPr>
            </w:pPr>
            <w:r>
              <w:rPr>
                <w:rFonts w:ascii="Times New Roman"/>
                <w:sz w:val="24"/>
              </w:rPr>
              <w:t>2.3</w:t>
            </w:r>
          </w:p>
        </w:tc>
        <w:tc>
          <w:tcPr>
            <w:tcW w:w="1050" w:type="dxa"/>
          </w:tcPr>
          <w:p>
            <w:pPr>
              <w:pStyle w:val="11"/>
              <w:spacing w:before="156"/>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5" w:hRule="atLeast"/>
        </w:trPr>
        <w:tc>
          <w:tcPr>
            <w:tcW w:w="695" w:type="dxa"/>
            <w:vMerge w:val="continue"/>
            <w:tcBorders>
              <w:top w:val="nil"/>
            </w:tcBorders>
          </w:tcPr>
          <w:p>
            <w:pPr>
              <w:rPr>
                <w:sz w:val="2"/>
                <w:szCs w:val="2"/>
              </w:rPr>
            </w:pPr>
          </w:p>
        </w:tc>
        <w:tc>
          <w:tcPr>
            <w:tcW w:w="693" w:type="dxa"/>
          </w:tcPr>
          <w:p>
            <w:pPr>
              <w:pStyle w:val="11"/>
              <w:rPr>
                <w:rFonts w:ascii="宋体"/>
                <w:b/>
                <w:sz w:val="26"/>
              </w:rPr>
            </w:pPr>
          </w:p>
          <w:p>
            <w:pPr>
              <w:pStyle w:val="11"/>
              <w:spacing w:before="5"/>
              <w:rPr>
                <w:rFonts w:ascii="宋体"/>
                <w:b/>
                <w:sz w:val="29"/>
              </w:rPr>
            </w:pPr>
          </w:p>
          <w:p>
            <w:pPr>
              <w:pStyle w:val="11"/>
              <w:ind w:left="225"/>
              <w:rPr>
                <w:rFonts w:ascii="Times New Roman"/>
                <w:sz w:val="24"/>
              </w:rPr>
            </w:pPr>
            <w:r>
              <w:rPr>
                <w:rFonts w:ascii="Times New Roman"/>
                <w:sz w:val="24"/>
              </w:rPr>
              <w:t>28</w:t>
            </w:r>
          </w:p>
        </w:tc>
        <w:tc>
          <w:tcPr>
            <w:tcW w:w="3458" w:type="dxa"/>
          </w:tcPr>
          <w:p>
            <w:pPr>
              <w:pStyle w:val="11"/>
              <w:rPr>
                <w:rFonts w:ascii="宋体"/>
                <w:b/>
                <w:sz w:val="24"/>
              </w:rPr>
            </w:pPr>
          </w:p>
          <w:p>
            <w:pPr>
              <w:pStyle w:val="11"/>
              <w:spacing w:before="12"/>
              <w:rPr>
                <w:rFonts w:ascii="宋体"/>
                <w:b/>
                <w:sz w:val="17"/>
              </w:rPr>
            </w:pPr>
          </w:p>
          <w:p>
            <w:pPr>
              <w:pStyle w:val="11"/>
              <w:ind w:left="108"/>
              <w:rPr>
                <w:rFonts w:hint="eastAsia" w:ascii="仿宋" w:eastAsia="仿宋"/>
                <w:b/>
                <w:sz w:val="24"/>
              </w:rPr>
            </w:pPr>
            <w:r>
              <w:rPr>
                <w:rFonts w:hint="eastAsia" w:ascii="仿宋" w:eastAsia="仿宋"/>
                <w:b/>
                <w:sz w:val="24"/>
              </w:rPr>
              <w:t>农村行政村体育设施覆盖率</w:t>
            </w:r>
          </w:p>
          <w:p>
            <w:pPr>
              <w:pStyle w:val="11"/>
              <w:spacing w:before="3"/>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rPr>
                <w:rFonts w:ascii="宋体"/>
                <w:b/>
                <w:sz w:val="26"/>
              </w:rPr>
            </w:pPr>
          </w:p>
          <w:p>
            <w:pPr>
              <w:pStyle w:val="11"/>
              <w:spacing w:before="5"/>
              <w:rPr>
                <w:rFonts w:ascii="宋体"/>
                <w:b/>
                <w:sz w:val="29"/>
              </w:rPr>
            </w:pPr>
          </w:p>
          <w:p>
            <w:pPr>
              <w:pStyle w:val="11"/>
              <w:ind w:left="89" w:right="73"/>
              <w:jc w:val="center"/>
              <w:rPr>
                <w:rFonts w:ascii="Times New Roman"/>
                <w:sz w:val="24"/>
              </w:rPr>
            </w:pPr>
            <w:r>
              <w:rPr>
                <w:rFonts w:ascii="Times New Roman"/>
                <w:sz w:val="24"/>
              </w:rPr>
              <w:t>88</w:t>
            </w:r>
          </w:p>
        </w:tc>
        <w:tc>
          <w:tcPr>
            <w:tcW w:w="851" w:type="dxa"/>
          </w:tcPr>
          <w:p>
            <w:pPr>
              <w:pStyle w:val="11"/>
              <w:spacing w:before="8"/>
              <w:rPr>
                <w:rFonts w:ascii="宋体"/>
                <w:b/>
                <w:sz w:val="17"/>
              </w:rPr>
            </w:pPr>
          </w:p>
          <w:p>
            <w:pPr>
              <w:pStyle w:val="11"/>
              <w:spacing w:line="242" w:lineRule="auto"/>
              <w:ind w:left="185" w:right="168"/>
              <w:jc w:val="both"/>
              <w:rPr>
                <w:rFonts w:hint="eastAsia" w:ascii="仿宋" w:eastAsia="仿宋"/>
                <w:sz w:val="24"/>
              </w:rPr>
            </w:pPr>
            <w:r>
              <w:rPr>
                <w:rFonts w:hint="eastAsia" w:ascii="仿宋" w:eastAsia="仿宋"/>
                <w:sz w:val="24"/>
              </w:rPr>
              <w:t>基本实现全覆盖</w:t>
            </w:r>
          </w:p>
        </w:tc>
        <w:tc>
          <w:tcPr>
            <w:tcW w:w="851" w:type="dxa"/>
          </w:tcPr>
          <w:p>
            <w:pPr>
              <w:pStyle w:val="11"/>
              <w:rPr>
                <w:rFonts w:ascii="宋体"/>
                <w:b/>
                <w:sz w:val="26"/>
              </w:rPr>
            </w:pPr>
          </w:p>
          <w:p>
            <w:pPr>
              <w:pStyle w:val="11"/>
              <w:spacing w:before="5"/>
              <w:rPr>
                <w:rFonts w:ascii="宋体"/>
                <w:b/>
                <w:sz w:val="29"/>
              </w:rPr>
            </w:pPr>
          </w:p>
          <w:p>
            <w:pPr>
              <w:pStyle w:val="11"/>
              <w:ind w:left="66" w:right="55"/>
              <w:jc w:val="center"/>
              <w:rPr>
                <w:rFonts w:ascii="Times New Roman"/>
                <w:sz w:val="24"/>
              </w:rPr>
            </w:pPr>
            <w:r>
              <w:rPr>
                <w:rFonts w:ascii="Times New Roman"/>
                <w:sz w:val="24"/>
              </w:rPr>
              <w:t>100</w:t>
            </w:r>
          </w:p>
        </w:tc>
        <w:tc>
          <w:tcPr>
            <w:tcW w:w="1050" w:type="dxa"/>
          </w:tcPr>
          <w:p>
            <w:pPr>
              <w:pStyle w:val="11"/>
              <w:rPr>
                <w:rFonts w:ascii="宋体"/>
                <w:b/>
                <w:sz w:val="24"/>
              </w:rPr>
            </w:pPr>
          </w:p>
          <w:p>
            <w:pPr>
              <w:pStyle w:val="11"/>
              <w:spacing w:before="2"/>
              <w:rPr>
                <w:rFonts w:ascii="宋体"/>
                <w:b/>
                <w:sz w:val="30"/>
              </w:rPr>
            </w:pPr>
          </w:p>
          <w:p>
            <w:pPr>
              <w:pStyle w:val="11"/>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Pr>
          <w:p>
            <w:pPr>
              <w:pStyle w:val="11"/>
              <w:rPr>
                <w:rFonts w:ascii="Times New Roman"/>
                <w:sz w:val="22"/>
              </w:rPr>
            </w:pPr>
          </w:p>
        </w:tc>
        <w:tc>
          <w:tcPr>
            <w:tcW w:w="8185" w:type="dxa"/>
            <w:gridSpan w:val="6"/>
          </w:tcPr>
          <w:p>
            <w:pPr>
              <w:pStyle w:val="11"/>
              <w:spacing w:before="44"/>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5" w:hRule="atLeast"/>
        </w:trPr>
        <w:tc>
          <w:tcPr>
            <w:tcW w:w="695" w:type="dxa"/>
            <w:vMerge w:val="continue"/>
            <w:tcBorders>
              <w:top w:val="nil"/>
            </w:tcBorders>
          </w:tcPr>
          <w:p>
            <w:pPr>
              <w:rPr>
                <w:sz w:val="2"/>
                <w:szCs w:val="2"/>
              </w:rPr>
            </w:pPr>
          </w:p>
        </w:tc>
        <w:tc>
          <w:tcPr>
            <w:tcW w:w="693" w:type="dxa"/>
          </w:tcPr>
          <w:p>
            <w:pPr>
              <w:pStyle w:val="11"/>
              <w:spacing w:before="154"/>
              <w:ind w:left="225"/>
              <w:rPr>
                <w:rFonts w:ascii="Times New Roman"/>
                <w:sz w:val="24"/>
              </w:rPr>
            </w:pPr>
            <w:r>
              <w:rPr>
                <w:rFonts w:ascii="Times New Roman"/>
                <w:sz w:val="24"/>
              </w:rPr>
              <w:t>29</w:t>
            </w:r>
          </w:p>
        </w:tc>
        <w:tc>
          <w:tcPr>
            <w:tcW w:w="3458" w:type="dxa"/>
          </w:tcPr>
          <w:p>
            <w:pPr>
              <w:pStyle w:val="11"/>
              <w:spacing w:before="138"/>
              <w:ind w:left="108"/>
              <w:rPr>
                <w:rFonts w:hint="eastAsia" w:ascii="仿宋" w:eastAsia="仿宋"/>
                <w:b/>
                <w:sz w:val="24"/>
              </w:rPr>
            </w:pPr>
            <w:r>
              <w:rPr>
                <w:rFonts w:ascii="Times New Roman" w:eastAsia="Times New Roman"/>
                <w:b/>
                <w:sz w:val="24"/>
              </w:rPr>
              <w:t xml:space="preserve">15 </w:t>
            </w:r>
            <w:r>
              <w:rPr>
                <w:rFonts w:hint="eastAsia" w:ascii="仿宋" w:eastAsia="仿宋"/>
                <w:b/>
                <w:sz w:val="24"/>
              </w:rPr>
              <w:t>岁以上人群吸烟率（</w:t>
            </w:r>
            <w:r>
              <w:rPr>
                <w:rFonts w:ascii="Times New Roman" w:eastAsia="Times New Roman"/>
                <w:b/>
                <w:sz w:val="24"/>
              </w:rPr>
              <w:t>%</w:t>
            </w:r>
            <w:r>
              <w:rPr>
                <w:rFonts w:hint="eastAsia" w:ascii="仿宋" w:eastAsia="仿宋"/>
                <w:b/>
                <w:sz w:val="24"/>
              </w:rPr>
              <w:t>）</w:t>
            </w:r>
          </w:p>
        </w:tc>
        <w:tc>
          <w:tcPr>
            <w:tcW w:w="1282" w:type="dxa"/>
          </w:tcPr>
          <w:p>
            <w:pPr>
              <w:pStyle w:val="11"/>
              <w:spacing w:before="1"/>
              <w:ind w:left="89" w:right="116"/>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1" w:line="256" w:lineRule="exact"/>
              <w:ind w:left="89" w:right="76"/>
              <w:jc w:val="center"/>
              <w:rPr>
                <w:rFonts w:ascii="Times New Roman"/>
                <w:sz w:val="24"/>
              </w:rPr>
            </w:pPr>
            <w:r>
              <w:rPr>
                <w:rFonts w:ascii="Times New Roman"/>
                <w:sz w:val="24"/>
              </w:rPr>
              <w:t>27.7</w:t>
            </w:r>
          </w:p>
        </w:tc>
        <w:tc>
          <w:tcPr>
            <w:tcW w:w="851" w:type="dxa"/>
          </w:tcPr>
          <w:p>
            <w:pPr>
              <w:pStyle w:val="11"/>
              <w:spacing w:before="154"/>
              <w:ind w:left="66" w:right="55"/>
              <w:jc w:val="center"/>
              <w:rPr>
                <w:rFonts w:ascii="Times New Roman"/>
                <w:sz w:val="24"/>
              </w:rPr>
            </w:pPr>
            <w:r>
              <w:rPr>
                <w:rFonts w:ascii="Times New Roman"/>
                <w:sz w:val="24"/>
              </w:rPr>
              <w:t>&lt;24.5</w:t>
            </w:r>
          </w:p>
        </w:tc>
        <w:tc>
          <w:tcPr>
            <w:tcW w:w="851" w:type="dxa"/>
          </w:tcPr>
          <w:p>
            <w:pPr>
              <w:pStyle w:val="11"/>
              <w:spacing w:before="154"/>
              <w:ind w:left="66" w:right="55"/>
              <w:jc w:val="center"/>
              <w:rPr>
                <w:rFonts w:ascii="Times New Roman"/>
                <w:sz w:val="24"/>
              </w:rPr>
            </w:pPr>
            <w:r>
              <w:rPr>
                <w:rFonts w:ascii="Times New Roman"/>
                <w:sz w:val="24"/>
              </w:rPr>
              <w:t>&lt;20</w:t>
            </w:r>
          </w:p>
        </w:tc>
        <w:tc>
          <w:tcPr>
            <w:tcW w:w="1050" w:type="dxa"/>
          </w:tcPr>
          <w:p>
            <w:pPr>
              <w:pStyle w:val="11"/>
              <w:spacing w:before="138"/>
              <w:ind w:left="144" w:right="128"/>
              <w:jc w:val="center"/>
              <w:rPr>
                <w:rFonts w:hint="eastAsia" w:ascii="仿宋" w:eastAsia="仿宋"/>
                <w:sz w:val="24"/>
              </w:rPr>
            </w:pPr>
            <w:r>
              <w:rPr>
                <w:rFonts w:hint="eastAsia" w:ascii="仿宋" w:eastAsia="仿宋"/>
                <w:sz w:val="24"/>
              </w:rPr>
              <w:t>预期性</w:t>
            </w:r>
          </w:p>
        </w:tc>
      </w:tr>
    </w:tbl>
    <w:p>
      <w:pPr>
        <w:spacing w:after="0"/>
        <w:jc w:val="center"/>
        <w:rPr>
          <w:rFonts w:hint="eastAsia" w:ascii="仿宋" w:eastAsia="仿宋"/>
          <w:sz w:val="24"/>
        </w:rPr>
        <w:sectPr>
          <w:pgSz w:w="11910" w:h="16840"/>
          <w:pgMar w:top="1420" w:right="1140" w:bottom="1300" w:left="1400" w:header="0" w:footer="1120" w:gutter="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11"/>
              <w:rPr>
                <w:rFonts w:ascii="宋体"/>
                <w:b/>
                <w:sz w:val="30"/>
              </w:rPr>
            </w:pPr>
          </w:p>
          <w:p>
            <w:pPr>
              <w:pStyle w:val="11"/>
              <w:spacing w:line="242" w:lineRule="auto"/>
              <w:ind w:left="226" w:right="10" w:hanging="120"/>
              <w:rPr>
                <w:rFonts w:hint="eastAsia" w:ascii="黑体" w:eastAsia="黑体"/>
                <w:sz w:val="24"/>
              </w:rPr>
            </w:pPr>
            <w:r>
              <w:rPr>
                <w:rFonts w:hint="eastAsia" w:ascii="黑体" w:eastAsia="黑体"/>
                <w:w w:val="85"/>
                <w:sz w:val="21"/>
              </w:rPr>
              <w:t xml:space="preserve">（四） </w:t>
            </w:r>
            <w:r>
              <w:rPr>
                <w:rFonts w:hint="eastAsia" w:ascii="黑体" w:eastAsia="黑体"/>
                <w:sz w:val="24"/>
              </w:rPr>
              <w:t>控烟行动</w:t>
            </w:r>
          </w:p>
        </w:tc>
        <w:tc>
          <w:tcPr>
            <w:tcW w:w="693" w:type="dxa"/>
            <w:vMerge w:val="restart"/>
          </w:tcPr>
          <w:p>
            <w:pPr>
              <w:pStyle w:val="11"/>
              <w:rPr>
                <w:rFonts w:ascii="宋体"/>
                <w:b/>
                <w:sz w:val="26"/>
              </w:rPr>
            </w:pPr>
          </w:p>
          <w:p>
            <w:pPr>
              <w:pStyle w:val="11"/>
              <w:spacing w:before="12"/>
              <w:rPr>
                <w:rFonts w:ascii="宋体"/>
                <w:b/>
                <w:sz w:val="19"/>
              </w:rPr>
            </w:pPr>
          </w:p>
          <w:p>
            <w:pPr>
              <w:pStyle w:val="11"/>
              <w:ind w:left="225"/>
              <w:rPr>
                <w:rFonts w:ascii="Times New Roman"/>
                <w:sz w:val="24"/>
              </w:rPr>
            </w:pPr>
            <w:r>
              <w:rPr>
                <w:rFonts w:ascii="Times New Roman"/>
                <w:sz w:val="24"/>
              </w:rPr>
              <w:t>30</w:t>
            </w:r>
          </w:p>
        </w:tc>
        <w:tc>
          <w:tcPr>
            <w:tcW w:w="3458" w:type="dxa"/>
          </w:tcPr>
          <w:p>
            <w:pPr>
              <w:pStyle w:val="11"/>
              <w:spacing w:before="2"/>
              <w:ind w:left="108"/>
              <w:rPr>
                <w:rFonts w:hint="eastAsia" w:ascii="仿宋" w:eastAsia="仿宋"/>
                <w:b/>
                <w:sz w:val="24"/>
              </w:rPr>
            </w:pPr>
            <w:r>
              <w:rPr>
                <w:rFonts w:hint="eastAsia" w:ascii="仿宋" w:eastAsia="仿宋"/>
                <w:b/>
                <w:sz w:val="24"/>
              </w:rPr>
              <w:t>全面无烟法规保护的人口比例</w:t>
            </w:r>
          </w:p>
          <w:p>
            <w:pPr>
              <w:pStyle w:val="11"/>
              <w:spacing w:before="4" w:line="289" w:lineRule="exact"/>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158"/>
              <w:ind w:left="89" w:right="76"/>
              <w:jc w:val="center"/>
              <w:rPr>
                <w:rFonts w:hint="eastAsia" w:ascii="仿宋" w:eastAsia="仿宋"/>
                <w:sz w:val="24"/>
              </w:rPr>
            </w:pPr>
            <w:r>
              <w:rPr>
                <w:rFonts w:ascii="Times New Roman" w:eastAsia="Times New Roman"/>
                <w:sz w:val="24"/>
              </w:rPr>
              <w:t xml:space="preserve">10 </w:t>
            </w:r>
            <w:r>
              <w:rPr>
                <w:rFonts w:hint="eastAsia" w:ascii="仿宋" w:eastAsia="仿宋"/>
                <w:sz w:val="24"/>
              </w:rPr>
              <w:t>左右</w:t>
            </w:r>
          </w:p>
        </w:tc>
        <w:tc>
          <w:tcPr>
            <w:tcW w:w="851" w:type="dxa"/>
          </w:tcPr>
          <w:p>
            <w:pPr>
              <w:pStyle w:val="11"/>
              <w:spacing w:before="174"/>
              <w:ind w:left="66" w:right="52"/>
              <w:jc w:val="center"/>
              <w:rPr>
                <w:rFonts w:ascii="Times New Roman" w:hAnsi="Times New Roman"/>
                <w:sz w:val="24"/>
              </w:rPr>
            </w:pPr>
            <w:r>
              <w:rPr>
                <w:rFonts w:ascii="Times New Roman" w:hAnsi="Times New Roman"/>
                <w:sz w:val="24"/>
              </w:rPr>
              <w:t>≥30</w:t>
            </w:r>
          </w:p>
        </w:tc>
        <w:tc>
          <w:tcPr>
            <w:tcW w:w="851" w:type="dxa"/>
          </w:tcPr>
          <w:p>
            <w:pPr>
              <w:pStyle w:val="11"/>
              <w:spacing w:before="174"/>
              <w:ind w:left="66" w:right="53"/>
              <w:jc w:val="center"/>
              <w:rPr>
                <w:rFonts w:ascii="Times New Roman" w:hAnsi="Times New Roman"/>
                <w:sz w:val="24"/>
              </w:rPr>
            </w:pPr>
            <w:r>
              <w:rPr>
                <w:rFonts w:ascii="Times New Roman" w:hAnsi="Times New Roman"/>
                <w:sz w:val="24"/>
              </w:rPr>
              <w:t>≥80</w:t>
            </w:r>
          </w:p>
        </w:tc>
        <w:tc>
          <w:tcPr>
            <w:tcW w:w="1050" w:type="dxa"/>
          </w:tcPr>
          <w:p>
            <w:pPr>
              <w:pStyle w:val="11"/>
              <w:spacing w:before="158"/>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42" w:lineRule="auto"/>
              <w:ind w:left="108" w:right="92"/>
              <w:rPr>
                <w:sz w:val="21"/>
              </w:rPr>
            </w:pPr>
            <w:r>
              <w:rPr>
                <w:spacing w:val="-8"/>
                <w:w w:val="95"/>
                <w:sz w:val="21"/>
              </w:rPr>
              <w:t xml:space="preserve">说明：全面无烟法规保护的人口是指通过无烟立法而受到保护，避免在室内公共  </w:t>
            </w:r>
            <w:r>
              <w:rPr>
                <w:spacing w:val="-8"/>
                <w:sz w:val="21"/>
              </w:rPr>
              <w:t>场所、室内工作场所和公共交通工具遭受烟草烟雾危害的人群数量。</w:t>
            </w:r>
          </w:p>
          <w:p>
            <w:pPr>
              <w:pStyle w:val="11"/>
              <w:spacing w:line="252" w:lineRule="exact"/>
              <w:ind w:left="108"/>
              <w:rPr>
                <w:sz w:val="21"/>
              </w:rPr>
            </w:pPr>
            <w:r>
              <w:rPr>
                <w:sz w:val="21"/>
              </w:rPr>
              <w:t>计算方法：全面无烟法规覆盖人群总人数</w:t>
            </w:r>
            <w:r>
              <w:rPr>
                <w:rFonts w:ascii="Times New Roman" w:hAnsi="Times New Roman" w:eastAsia="Times New Roman"/>
                <w:sz w:val="21"/>
              </w:rPr>
              <w:t>/</w:t>
            </w:r>
            <w:r>
              <w:rPr>
                <w:sz w:val="21"/>
              </w:rPr>
              <w:t>全国人口人数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4"/>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tcPr>
          <w:p>
            <w:pPr>
              <w:pStyle w:val="11"/>
              <w:spacing w:before="173"/>
              <w:ind w:left="225"/>
              <w:rPr>
                <w:rFonts w:ascii="Times New Roman"/>
                <w:sz w:val="24"/>
              </w:rPr>
            </w:pPr>
            <w:r>
              <w:rPr>
                <w:rFonts w:ascii="Times New Roman"/>
                <w:sz w:val="24"/>
              </w:rPr>
              <w:t>31</w:t>
            </w:r>
          </w:p>
        </w:tc>
        <w:tc>
          <w:tcPr>
            <w:tcW w:w="6442" w:type="dxa"/>
            <w:gridSpan w:val="4"/>
          </w:tcPr>
          <w:p>
            <w:pPr>
              <w:pStyle w:val="11"/>
              <w:spacing w:before="1"/>
              <w:ind w:left="108"/>
              <w:rPr>
                <w:rFonts w:hint="eastAsia" w:ascii="仿宋" w:eastAsia="仿宋"/>
                <w:b/>
                <w:sz w:val="24"/>
              </w:rPr>
            </w:pPr>
            <w:r>
              <w:rPr>
                <w:rFonts w:hint="eastAsia" w:ascii="仿宋" w:eastAsia="仿宋"/>
                <w:b/>
                <w:sz w:val="24"/>
              </w:rPr>
              <w:t>个人戒烟越早越好，什么时候都不晚。创建无烟家庭，保护</w:t>
            </w:r>
          </w:p>
          <w:p>
            <w:pPr>
              <w:pStyle w:val="11"/>
              <w:spacing w:before="5" w:line="289" w:lineRule="exact"/>
              <w:ind w:left="108"/>
              <w:rPr>
                <w:rFonts w:hint="eastAsia" w:ascii="仿宋" w:eastAsia="仿宋"/>
                <w:b/>
                <w:sz w:val="24"/>
              </w:rPr>
            </w:pPr>
            <w:r>
              <w:rPr>
                <w:rFonts w:hint="eastAsia" w:ascii="仿宋" w:eastAsia="仿宋"/>
                <w:b/>
                <w:sz w:val="24"/>
              </w:rPr>
              <w:t>家人免受二手烟危害</w:t>
            </w:r>
          </w:p>
        </w:tc>
        <w:tc>
          <w:tcPr>
            <w:tcW w:w="1050" w:type="dxa"/>
          </w:tcPr>
          <w:p>
            <w:pPr>
              <w:pStyle w:val="11"/>
              <w:spacing w:before="157"/>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trPr>
        <w:tc>
          <w:tcPr>
            <w:tcW w:w="695" w:type="dxa"/>
            <w:vMerge w:val="continue"/>
            <w:tcBorders>
              <w:top w:val="nil"/>
            </w:tcBorders>
          </w:tcPr>
          <w:p>
            <w:pPr>
              <w:rPr>
                <w:sz w:val="2"/>
                <w:szCs w:val="2"/>
              </w:rPr>
            </w:pPr>
          </w:p>
        </w:tc>
        <w:tc>
          <w:tcPr>
            <w:tcW w:w="693" w:type="dxa"/>
          </w:tcPr>
          <w:p>
            <w:pPr>
              <w:pStyle w:val="11"/>
              <w:spacing w:before="121"/>
              <w:ind w:left="225"/>
              <w:rPr>
                <w:rFonts w:ascii="Times New Roman"/>
                <w:sz w:val="24"/>
              </w:rPr>
            </w:pPr>
            <w:r>
              <w:rPr>
                <w:rFonts w:ascii="Times New Roman"/>
                <w:sz w:val="24"/>
              </w:rPr>
              <w:t>32</w:t>
            </w:r>
          </w:p>
        </w:tc>
        <w:tc>
          <w:tcPr>
            <w:tcW w:w="6442" w:type="dxa"/>
            <w:gridSpan w:val="4"/>
          </w:tcPr>
          <w:p>
            <w:pPr>
              <w:pStyle w:val="11"/>
              <w:spacing w:before="105"/>
              <w:ind w:left="108"/>
              <w:rPr>
                <w:rFonts w:hint="eastAsia" w:ascii="仿宋" w:eastAsia="仿宋"/>
                <w:b/>
                <w:sz w:val="24"/>
              </w:rPr>
            </w:pPr>
            <w:r>
              <w:rPr>
                <w:rFonts w:hint="eastAsia" w:ascii="仿宋" w:eastAsia="仿宋"/>
                <w:b/>
                <w:sz w:val="24"/>
              </w:rPr>
              <w:t>领导干部、医务人员和教师发挥在控烟方面的引领作用</w:t>
            </w:r>
          </w:p>
        </w:tc>
        <w:tc>
          <w:tcPr>
            <w:tcW w:w="1050" w:type="dxa"/>
          </w:tcPr>
          <w:p>
            <w:pPr>
              <w:pStyle w:val="11"/>
              <w:spacing w:before="105"/>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tcPr>
          <w:p>
            <w:pPr>
              <w:pStyle w:val="11"/>
              <w:spacing w:before="172"/>
              <w:ind w:left="225"/>
              <w:rPr>
                <w:rFonts w:ascii="Times New Roman"/>
                <w:sz w:val="24"/>
              </w:rPr>
            </w:pPr>
            <w:r>
              <w:rPr>
                <w:rFonts w:ascii="Times New Roman"/>
                <w:sz w:val="24"/>
              </w:rPr>
              <w:t>33</w:t>
            </w:r>
          </w:p>
        </w:tc>
        <w:tc>
          <w:tcPr>
            <w:tcW w:w="6442" w:type="dxa"/>
            <w:gridSpan w:val="4"/>
          </w:tcPr>
          <w:p>
            <w:pPr>
              <w:pStyle w:val="11"/>
              <w:spacing w:line="310" w:lineRule="atLeast"/>
              <w:ind w:left="108" w:right="27"/>
              <w:rPr>
                <w:rFonts w:hint="eastAsia" w:ascii="仿宋" w:eastAsia="仿宋"/>
                <w:b/>
                <w:sz w:val="24"/>
              </w:rPr>
            </w:pPr>
            <w:r>
              <w:rPr>
                <w:rFonts w:hint="eastAsia" w:ascii="仿宋" w:eastAsia="仿宋"/>
                <w:b/>
                <w:sz w:val="24"/>
              </w:rPr>
              <w:t>鼓励企业、单位出台室内全面无烟政策，为员工营造无烟工作环境，为吸烟员工戒烟提供必要的帮助</w:t>
            </w:r>
          </w:p>
        </w:tc>
        <w:tc>
          <w:tcPr>
            <w:tcW w:w="1050" w:type="dxa"/>
          </w:tcPr>
          <w:p>
            <w:pPr>
              <w:pStyle w:val="11"/>
              <w:spacing w:before="156"/>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8185" w:type="dxa"/>
            <w:gridSpan w:val="6"/>
          </w:tcPr>
          <w:p>
            <w:pPr>
              <w:pStyle w:val="11"/>
              <w:spacing w:before="44"/>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12"/>
              <w:rPr>
                <w:rFonts w:ascii="宋体"/>
                <w:b/>
                <w:sz w:val="19"/>
              </w:rPr>
            </w:pPr>
          </w:p>
          <w:p>
            <w:pPr>
              <w:pStyle w:val="11"/>
              <w:ind w:left="225"/>
              <w:rPr>
                <w:rFonts w:ascii="Times New Roman"/>
                <w:sz w:val="24"/>
              </w:rPr>
            </w:pPr>
            <w:r>
              <w:rPr>
                <w:rFonts w:ascii="Times New Roman"/>
                <w:sz w:val="24"/>
              </w:rPr>
              <w:t>34</w:t>
            </w:r>
          </w:p>
        </w:tc>
        <w:tc>
          <w:tcPr>
            <w:tcW w:w="3458" w:type="dxa"/>
          </w:tcPr>
          <w:p>
            <w:pPr>
              <w:pStyle w:val="11"/>
              <w:spacing w:before="158"/>
              <w:ind w:left="108"/>
              <w:rPr>
                <w:rFonts w:hint="eastAsia" w:ascii="仿宋" w:eastAsia="仿宋"/>
                <w:b/>
                <w:sz w:val="24"/>
              </w:rPr>
            </w:pPr>
            <w:r>
              <w:rPr>
                <w:rFonts w:hint="eastAsia" w:ascii="仿宋" w:eastAsia="仿宋"/>
                <w:b/>
                <w:sz w:val="24"/>
              </w:rPr>
              <w:t>建设成无烟党政机关</w:t>
            </w:r>
          </w:p>
        </w:tc>
        <w:tc>
          <w:tcPr>
            <w:tcW w:w="1282" w:type="dxa"/>
          </w:tcPr>
          <w:p>
            <w:pPr>
              <w:pStyle w:val="11"/>
              <w:spacing w:before="174"/>
              <w:ind w:left="16"/>
              <w:jc w:val="center"/>
              <w:rPr>
                <w:rFonts w:ascii="Times New Roman" w:hAnsi="Times New Roman"/>
                <w:sz w:val="24"/>
              </w:rPr>
            </w:pPr>
            <w:r>
              <w:rPr>
                <w:rFonts w:ascii="Times New Roman" w:hAnsi="Times New Roman"/>
                <w:sz w:val="24"/>
              </w:rPr>
              <w:t>—</w:t>
            </w:r>
          </w:p>
        </w:tc>
        <w:tc>
          <w:tcPr>
            <w:tcW w:w="851" w:type="dxa"/>
          </w:tcPr>
          <w:p>
            <w:pPr>
              <w:pStyle w:val="11"/>
              <w:spacing w:before="2"/>
              <w:ind w:left="185"/>
              <w:rPr>
                <w:rFonts w:hint="eastAsia" w:ascii="仿宋" w:eastAsia="仿宋"/>
                <w:sz w:val="24"/>
              </w:rPr>
            </w:pPr>
            <w:r>
              <w:rPr>
                <w:rFonts w:hint="eastAsia" w:ascii="仿宋" w:eastAsia="仿宋"/>
                <w:sz w:val="24"/>
              </w:rPr>
              <w:t>基本</w:t>
            </w:r>
          </w:p>
          <w:p>
            <w:pPr>
              <w:pStyle w:val="11"/>
              <w:spacing w:before="4" w:line="289" w:lineRule="exact"/>
              <w:ind w:left="185"/>
              <w:rPr>
                <w:rFonts w:hint="eastAsia" w:ascii="仿宋" w:eastAsia="仿宋"/>
                <w:sz w:val="24"/>
              </w:rPr>
            </w:pPr>
            <w:r>
              <w:rPr>
                <w:rFonts w:hint="eastAsia" w:ascii="仿宋" w:eastAsia="仿宋"/>
                <w:sz w:val="24"/>
              </w:rPr>
              <w:t>实现</w:t>
            </w:r>
          </w:p>
        </w:tc>
        <w:tc>
          <w:tcPr>
            <w:tcW w:w="851" w:type="dxa"/>
          </w:tcPr>
          <w:p>
            <w:pPr>
              <w:pStyle w:val="11"/>
              <w:spacing w:before="2"/>
              <w:ind w:left="183"/>
              <w:rPr>
                <w:rFonts w:hint="eastAsia" w:ascii="仿宋" w:eastAsia="仿宋"/>
                <w:sz w:val="24"/>
              </w:rPr>
            </w:pPr>
            <w:r>
              <w:rPr>
                <w:rFonts w:hint="eastAsia" w:ascii="仿宋" w:eastAsia="仿宋"/>
                <w:sz w:val="24"/>
              </w:rPr>
              <w:t>持续</w:t>
            </w:r>
          </w:p>
          <w:p>
            <w:pPr>
              <w:pStyle w:val="11"/>
              <w:spacing w:before="4" w:line="289" w:lineRule="exact"/>
              <w:ind w:left="183"/>
              <w:rPr>
                <w:rFonts w:hint="eastAsia" w:ascii="仿宋" w:eastAsia="仿宋"/>
                <w:sz w:val="24"/>
              </w:rPr>
            </w:pPr>
            <w:r>
              <w:rPr>
                <w:rFonts w:hint="eastAsia" w:ascii="仿宋" w:eastAsia="仿宋"/>
                <w:sz w:val="24"/>
              </w:rPr>
              <w:t>保持</w:t>
            </w:r>
          </w:p>
        </w:tc>
        <w:tc>
          <w:tcPr>
            <w:tcW w:w="1050" w:type="dxa"/>
          </w:tcPr>
          <w:p>
            <w:pPr>
              <w:pStyle w:val="11"/>
              <w:spacing w:before="158"/>
              <w:ind w:left="107"/>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6"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42" w:lineRule="auto"/>
              <w:ind w:left="108" w:right="92"/>
              <w:rPr>
                <w:sz w:val="21"/>
              </w:rPr>
            </w:pPr>
            <w:r>
              <w:rPr>
                <w:spacing w:val="-8"/>
                <w:w w:val="95"/>
                <w:sz w:val="21"/>
              </w:rPr>
              <w:t xml:space="preserve">说明：中共中央办公厅、国务院办公厅《关于领导干部带头在公共场所禁烟有关  </w:t>
            </w:r>
            <w:r>
              <w:rPr>
                <w:spacing w:val="-11"/>
                <w:w w:val="95"/>
                <w:sz w:val="21"/>
              </w:rPr>
              <w:t>事项的通知》要求把各级党政机关建成无烟机关，各级领导干部模范遵守公共场</w:t>
            </w:r>
          </w:p>
          <w:p>
            <w:pPr>
              <w:pStyle w:val="11"/>
              <w:spacing w:line="252" w:lineRule="exact"/>
              <w:ind w:left="108"/>
              <w:rPr>
                <w:sz w:val="21"/>
              </w:rPr>
            </w:pPr>
            <w:r>
              <w:rPr>
                <w:sz w:val="21"/>
              </w:rPr>
              <w:t>所禁烟规定，以实际行动作出表率。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6"/>
              <w:rPr>
                <w:rFonts w:ascii="宋体"/>
                <w:b/>
                <w:sz w:val="19"/>
              </w:rPr>
            </w:pPr>
          </w:p>
          <w:p>
            <w:pPr>
              <w:pStyle w:val="11"/>
              <w:spacing w:line="242" w:lineRule="auto"/>
              <w:ind w:left="226" w:right="10" w:hanging="120"/>
              <w:rPr>
                <w:rFonts w:hint="eastAsia" w:ascii="黑体" w:eastAsia="黑体"/>
                <w:sz w:val="24"/>
              </w:rPr>
            </w:pPr>
            <w:r>
              <w:rPr>
                <w:rFonts w:hint="eastAsia" w:ascii="黑体" w:eastAsia="黑体"/>
                <w:w w:val="85"/>
                <w:sz w:val="21"/>
              </w:rPr>
              <w:t xml:space="preserve">（五） </w:t>
            </w:r>
            <w:r>
              <w:rPr>
                <w:rFonts w:hint="eastAsia" w:ascii="黑体" w:eastAsia="黑体"/>
                <w:sz w:val="24"/>
              </w:rPr>
              <w:t>心理健康促进行动</w:t>
            </w:r>
          </w:p>
        </w:tc>
        <w:tc>
          <w:tcPr>
            <w:tcW w:w="8185" w:type="dxa"/>
            <w:gridSpan w:val="6"/>
          </w:tcPr>
          <w:p>
            <w:pPr>
              <w:pStyle w:val="11"/>
              <w:spacing w:before="1" w:line="290" w:lineRule="exact"/>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restart"/>
          </w:tcPr>
          <w:p>
            <w:pPr>
              <w:pStyle w:val="11"/>
              <w:spacing w:before="5"/>
              <w:rPr>
                <w:rFonts w:ascii="宋体"/>
                <w:b/>
                <w:sz w:val="26"/>
              </w:rPr>
            </w:pPr>
          </w:p>
          <w:p>
            <w:pPr>
              <w:pStyle w:val="11"/>
              <w:ind w:left="225"/>
              <w:rPr>
                <w:rFonts w:ascii="Times New Roman"/>
                <w:sz w:val="24"/>
              </w:rPr>
            </w:pPr>
            <w:r>
              <w:rPr>
                <w:rFonts w:ascii="Times New Roman"/>
                <w:sz w:val="24"/>
              </w:rPr>
              <w:t>35</w:t>
            </w:r>
          </w:p>
        </w:tc>
        <w:tc>
          <w:tcPr>
            <w:tcW w:w="3458" w:type="dxa"/>
          </w:tcPr>
          <w:p>
            <w:pPr>
              <w:pStyle w:val="11"/>
              <w:spacing w:before="42"/>
              <w:ind w:left="108"/>
              <w:rPr>
                <w:rFonts w:hint="eastAsia" w:ascii="仿宋" w:eastAsia="仿宋"/>
                <w:b/>
                <w:sz w:val="24"/>
              </w:rPr>
            </w:pPr>
            <w:r>
              <w:rPr>
                <w:rFonts w:hint="eastAsia" w:ascii="仿宋" w:eastAsia="仿宋"/>
                <w:b/>
                <w:sz w:val="24"/>
              </w:rPr>
              <w:t>居民心理健康素养水平（</w:t>
            </w:r>
            <w:r>
              <w:rPr>
                <w:rFonts w:ascii="Times New Roman" w:eastAsia="Times New Roman"/>
                <w:b/>
                <w:sz w:val="24"/>
              </w:rPr>
              <w:t>%</w:t>
            </w:r>
            <w:r>
              <w:rPr>
                <w:rFonts w:hint="eastAsia" w:ascii="仿宋" w:eastAsia="仿宋"/>
                <w:b/>
                <w:sz w:val="24"/>
              </w:rPr>
              <w:t>）</w:t>
            </w:r>
          </w:p>
        </w:tc>
        <w:tc>
          <w:tcPr>
            <w:tcW w:w="1282" w:type="dxa"/>
          </w:tcPr>
          <w:p>
            <w:pPr>
              <w:pStyle w:val="11"/>
              <w:spacing w:before="58"/>
              <w:ind w:left="89" w:right="73"/>
              <w:jc w:val="center"/>
              <w:rPr>
                <w:rFonts w:ascii="Times New Roman"/>
                <w:sz w:val="24"/>
              </w:rPr>
            </w:pPr>
            <w:r>
              <w:rPr>
                <w:rFonts w:ascii="Times New Roman"/>
                <w:sz w:val="24"/>
              </w:rPr>
              <w:t>12</w:t>
            </w:r>
          </w:p>
        </w:tc>
        <w:tc>
          <w:tcPr>
            <w:tcW w:w="851" w:type="dxa"/>
          </w:tcPr>
          <w:p>
            <w:pPr>
              <w:pStyle w:val="11"/>
              <w:spacing w:before="58"/>
              <w:ind w:left="66" w:right="52"/>
              <w:jc w:val="center"/>
              <w:rPr>
                <w:rFonts w:ascii="Times New Roman"/>
                <w:sz w:val="24"/>
              </w:rPr>
            </w:pPr>
            <w:r>
              <w:rPr>
                <w:rFonts w:ascii="Times New Roman"/>
                <w:sz w:val="24"/>
              </w:rPr>
              <w:t>20</w:t>
            </w:r>
          </w:p>
        </w:tc>
        <w:tc>
          <w:tcPr>
            <w:tcW w:w="851" w:type="dxa"/>
          </w:tcPr>
          <w:p>
            <w:pPr>
              <w:pStyle w:val="11"/>
              <w:spacing w:before="58"/>
              <w:ind w:left="66" w:right="55"/>
              <w:jc w:val="center"/>
              <w:rPr>
                <w:rFonts w:ascii="Times New Roman"/>
                <w:sz w:val="24"/>
              </w:rPr>
            </w:pPr>
            <w:r>
              <w:rPr>
                <w:rFonts w:ascii="Times New Roman"/>
                <w:sz w:val="24"/>
              </w:rPr>
              <w:t>30</w:t>
            </w:r>
          </w:p>
        </w:tc>
        <w:tc>
          <w:tcPr>
            <w:tcW w:w="1050" w:type="dxa"/>
          </w:tcPr>
          <w:p>
            <w:pPr>
              <w:pStyle w:val="11"/>
              <w:spacing w:before="42"/>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3"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ind w:left="108"/>
              <w:rPr>
                <w:sz w:val="21"/>
              </w:rPr>
            </w:pPr>
            <w:r>
              <w:rPr>
                <w:sz w:val="21"/>
              </w:rPr>
              <w:t>说明：根据国家卫生健康委发布的《心理健康素养十条》，居民对心理健康核心</w:t>
            </w:r>
          </w:p>
          <w:p>
            <w:pPr>
              <w:pStyle w:val="11"/>
              <w:spacing w:before="2" w:line="252" w:lineRule="exact"/>
              <w:ind w:left="108"/>
              <w:rPr>
                <w:sz w:val="21"/>
              </w:rPr>
            </w:pPr>
            <w:r>
              <w:rPr>
                <w:sz w:val="21"/>
              </w:rPr>
              <w:t>知识的知晓情况、认可程度、行为改变等。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6"/>
              <w:rPr>
                <w:rFonts w:ascii="宋体"/>
                <w:b/>
                <w:sz w:val="18"/>
              </w:rPr>
            </w:pPr>
          </w:p>
          <w:p>
            <w:pPr>
              <w:pStyle w:val="11"/>
              <w:ind w:left="225"/>
              <w:rPr>
                <w:rFonts w:ascii="Times New Roman"/>
                <w:sz w:val="24"/>
              </w:rPr>
            </w:pPr>
            <w:r>
              <w:rPr>
                <w:rFonts w:ascii="Times New Roman"/>
                <w:sz w:val="24"/>
              </w:rPr>
              <w:t>36</w:t>
            </w:r>
          </w:p>
        </w:tc>
        <w:tc>
          <w:tcPr>
            <w:tcW w:w="3458" w:type="dxa"/>
          </w:tcPr>
          <w:p>
            <w:pPr>
              <w:pStyle w:val="11"/>
              <w:spacing w:before="139"/>
              <w:ind w:left="108"/>
              <w:rPr>
                <w:rFonts w:hint="eastAsia" w:ascii="仿宋" w:eastAsia="仿宋"/>
                <w:b/>
                <w:sz w:val="24"/>
              </w:rPr>
            </w:pPr>
            <w:r>
              <w:rPr>
                <w:rFonts w:hint="eastAsia" w:ascii="仿宋" w:eastAsia="仿宋"/>
                <w:b/>
                <w:sz w:val="24"/>
              </w:rPr>
              <w:t>失眠现患率（</w:t>
            </w:r>
            <w:r>
              <w:rPr>
                <w:rFonts w:ascii="Times New Roman" w:eastAsia="Times New Roman"/>
                <w:b/>
                <w:sz w:val="24"/>
              </w:rPr>
              <w:t>%</w:t>
            </w:r>
            <w:r>
              <w:rPr>
                <w:rFonts w:hint="eastAsia" w:ascii="仿宋" w:eastAsia="仿宋"/>
                <w:b/>
                <w:sz w:val="24"/>
              </w:rPr>
              <w:t>）</w:t>
            </w:r>
          </w:p>
        </w:tc>
        <w:tc>
          <w:tcPr>
            <w:tcW w:w="1282" w:type="dxa"/>
          </w:tcPr>
          <w:p>
            <w:pPr>
              <w:pStyle w:val="11"/>
              <w:spacing w:before="2"/>
              <w:ind w:left="89" w:right="116"/>
              <w:jc w:val="center"/>
              <w:rPr>
                <w:rFonts w:hint="eastAsia" w:ascii="仿宋" w:eastAsia="仿宋"/>
                <w:sz w:val="24"/>
              </w:rPr>
            </w:pPr>
            <w:r>
              <w:rPr>
                <w:rFonts w:ascii="Times New Roman" w:eastAsia="Times New Roman"/>
                <w:sz w:val="24"/>
              </w:rPr>
              <w:t xml:space="preserve">2016 </w:t>
            </w:r>
            <w:r>
              <w:rPr>
                <w:rFonts w:hint="eastAsia" w:ascii="仿宋" w:eastAsia="仿宋"/>
                <w:sz w:val="24"/>
              </w:rPr>
              <w:t>年为</w:t>
            </w:r>
          </w:p>
          <w:p>
            <w:pPr>
              <w:pStyle w:val="11"/>
              <w:spacing w:before="1" w:line="257" w:lineRule="exact"/>
              <w:ind w:left="89" w:right="73"/>
              <w:jc w:val="center"/>
              <w:rPr>
                <w:rFonts w:ascii="Times New Roman"/>
                <w:sz w:val="24"/>
              </w:rPr>
            </w:pPr>
            <w:r>
              <w:rPr>
                <w:rFonts w:ascii="Times New Roman"/>
                <w:sz w:val="24"/>
              </w:rPr>
              <w:t>15</w:t>
            </w:r>
          </w:p>
        </w:tc>
        <w:tc>
          <w:tcPr>
            <w:tcW w:w="1702" w:type="dxa"/>
            <w:gridSpan w:val="2"/>
          </w:tcPr>
          <w:p>
            <w:pPr>
              <w:pStyle w:val="11"/>
              <w:spacing w:before="139"/>
              <w:ind w:left="129"/>
              <w:rPr>
                <w:rFonts w:hint="eastAsia" w:ascii="仿宋" w:eastAsia="仿宋"/>
                <w:sz w:val="24"/>
              </w:rPr>
            </w:pPr>
            <w:r>
              <w:rPr>
                <w:rFonts w:hint="eastAsia" w:ascii="仿宋" w:eastAsia="仿宋"/>
                <w:sz w:val="24"/>
              </w:rPr>
              <w:t>上升趋势减缓</w:t>
            </w:r>
          </w:p>
        </w:tc>
        <w:tc>
          <w:tcPr>
            <w:tcW w:w="1050" w:type="dxa"/>
          </w:tcPr>
          <w:p>
            <w:pPr>
              <w:pStyle w:val="11"/>
              <w:spacing w:before="139"/>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6"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line="242" w:lineRule="auto"/>
              <w:ind w:left="108" w:right="94"/>
              <w:rPr>
                <w:sz w:val="21"/>
              </w:rPr>
            </w:pPr>
            <w:r>
              <w:rPr>
                <w:spacing w:val="-9"/>
                <w:w w:val="95"/>
                <w:sz w:val="21"/>
              </w:rPr>
              <w:t xml:space="preserve">说明：失眠现患率指用反映睡眠情况的相关量表检测出的失眠人数占调查人数的  </w:t>
            </w:r>
            <w:r>
              <w:rPr>
                <w:spacing w:val="-9"/>
                <w:sz w:val="21"/>
              </w:rPr>
              <w:t>比例。据预测，我国睡眠问题和睡眠障碍患病率将呈上升趋势。</w:t>
            </w:r>
          </w:p>
          <w:p>
            <w:pPr>
              <w:pStyle w:val="11"/>
              <w:spacing w:before="1" w:line="252" w:lineRule="exact"/>
              <w:ind w:left="108"/>
              <w:rPr>
                <w:sz w:val="21"/>
              </w:rPr>
            </w:pPr>
            <w:r>
              <w:rPr>
                <w:sz w:val="21"/>
              </w:rPr>
              <w:t>计算方法：通过定期开展专项调查获得相关结果。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spacing w:before="4"/>
              <w:rPr>
                <w:rFonts w:ascii="宋体"/>
                <w:b/>
                <w:sz w:val="24"/>
              </w:rPr>
            </w:pPr>
          </w:p>
          <w:p>
            <w:pPr>
              <w:pStyle w:val="11"/>
              <w:ind w:left="225"/>
              <w:rPr>
                <w:rFonts w:ascii="Times New Roman"/>
                <w:sz w:val="24"/>
              </w:rPr>
            </w:pPr>
            <w:r>
              <w:rPr>
                <w:rFonts w:ascii="Times New Roman"/>
                <w:sz w:val="24"/>
              </w:rPr>
              <w:t>37</w:t>
            </w:r>
          </w:p>
        </w:tc>
        <w:tc>
          <w:tcPr>
            <w:tcW w:w="3458" w:type="dxa"/>
          </w:tcPr>
          <w:p>
            <w:pPr>
              <w:pStyle w:val="11"/>
              <w:spacing w:before="139"/>
              <w:ind w:left="108"/>
              <w:rPr>
                <w:rFonts w:hint="eastAsia" w:ascii="仿宋" w:eastAsia="仿宋"/>
                <w:b/>
                <w:sz w:val="24"/>
              </w:rPr>
            </w:pPr>
            <w:r>
              <w:rPr>
                <w:rFonts w:hint="eastAsia" w:ascii="仿宋" w:eastAsia="仿宋"/>
                <w:b/>
                <w:sz w:val="24"/>
              </w:rPr>
              <w:t>焦虑障碍患病率（</w:t>
            </w:r>
            <w:r>
              <w:rPr>
                <w:rFonts w:ascii="Times New Roman" w:eastAsia="Times New Roman"/>
                <w:b/>
                <w:sz w:val="24"/>
              </w:rPr>
              <w:t>%</w:t>
            </w:r>
            <w:r>
              <w:rPr>
                <w:rFonts w:hint="eastAsia" w:ascii="仿宋" w:eastAsia="仿宋"/>
                <w:b/>
                <w:sz w:val="24"/>
              </w:rPr>
              <w:t>）</w:t>
            </w:r>
          </w:p>
        </w:tc>
        <w:tc>
          <w:tcPr>
            <w:tcW w:w="1282" w:type="dxa"/>
          </w:tcPr>
          <w:p>
            <w:pPr>
              <w:pStyle w:val="11"/>
              <w:ind w:left="89" w:right="116"/>
              <w:jc w:val="center"/>
              <w:rPr>
                <w:rFonts w:hint="eastAsia" w:ascii="仿宋" w:eastAsia="仿宋"/>
                <w:sz w:val="24"/>
              </w:rPr>
            </w:pPr>
            <w:r>
              <w:rPr>
                <w:rFonts w:ascii="Times New Roman" w:eastAsia="Times New Roman"/>
                <w:sz w:val="24"/>
              </w:rPr>
              <w:t xml:space="preserve">2014 </w:t>
            </w:r>
            <w:r>
              <w:rPr>
                <w:rFonts w:hint="eastAsia" w:ascii="仿宋" w:eastAsia="仿宋"/>
                <w:sz w:val="24"/>
              </w:rPr>
              <w:t>年为</w:t>
            </w:r>
          </w:p>
          <w:p>
            <w:pPr>
              <w:pStyle w:val="11"/>
              <w:spacing w:before="3" w:line="256" w:lineRule="exact"/>
              <w:ind w:left="89" w:right="76"/>
              <w:jc w:val="center"/>
              <w:rPr>
                <w:rFonts w:ascii="Times New Roman"/>
                <w:sz w:val="24"/>
              </w:rPr>
            </w:pPr>
            <w:r>
              <w:rPr>
                <w:rFonts w:ascii="Times New Roman"/>
                <w:sz w:val="24"/>
              </w:rPr>
              <w:t>4.98</w:t>
            </w:r>
          </w:p>
        </w:tc>
        <w:tc>
          <w:tcPr>
            <w:tcW w:w="1702" w:type="dxa"/>
            <w:gridSpan w:val="2"/>
          </w:tcPr>
          <w:p>
            <w:pPr>
              <w:pStyle w:val="11"/>
              <w:spacing w:before="173"/>
              <w:ind w:left="129"/>
              <w:rPr>
                <w:rFonts w:hint="eastAsia" w:ascii="仿宋" w:eastAsia="仿宋"/>
                <w:sz w:val="24"/>
              </w:rPr>
            </w:pPr>
            <w:r>
              <w:rPr>
                <w:rFonts w:hint="eastAsia" w:ascii="仿宋" w:eastAsia="仿宋"/>
                <w:sz w:val="24"/>
              </w:rPr>
              <w:t>上升趋势减缓</w:t>
            </w:r>
          </w:p>
        </w:tc>
        <w:tc>
          <w:tcPr>
            <w:tcW w:w="1050" w:type="dxa"/>
          </w:tcPr>
          <w:p>
            <w:pPr>
              <w:pStyle w:val="11"/>
              <w:spacing w:before="139"/>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34"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line="242" w:lineRule="auto"/>
              <w:ind w:left="108" w:right="-15"/>
              <w:rPr>
                <w:sz w:val="21"/>
              </w:rPr>
            </w:pPr>
            <w:r>
              <w:rPr>
                <w:spacing w:val="-8"/>
                <w:sz w:val="21"/>
              </w:rPr>
              <w:t>说明：焦虑障碍是以焦虑综合征为主要临床表现的一组精神障碍。焦虑综合征包</w:t>
            </w:r>
            <w:r>
              <w:rPr>
                <w:spacing w:val="-17"/>
                <w:w w:val="95"/>
                <w:sz w:val="21"/>
              </w:rPr>
              <w:t xml:space="preserve">括精神症状和躯体症状两个方面。精神症状指提心吊胆、恐惧和忧郁的内心体验，  </w:t>
            </w:r>
            <w:r>
              <w:rPr>
                <w:spacing w:val="-13"/>
                <w:sz w:val="21"/>
              </w:rPr>
              <w:t>常伴有紧张不安；躯体症状指心悸气短、胸闷、口干、出汗、肌紧张性震颤、颤</w:t>
            </w:r>
            <w:r>
              <w:rPr>
                <w:spacing w:val="-14"/>
                <w:sz w:val="21"/>
              </w:rPr>
              <w:t xml:space="preserve">抖或颜面潮红、苍白等。焦虑障碍患病率美国为 </w:t>
            </w:r>
            <w:r>
              <w:rPr>
                <w:rFonts w:ascii="Times New Roman" w:eastAsia="Times New Roman"/>
                <w:sz w:val="21"/>
              </w:rPr>
              <w:t>18.2%</w:t>
            </w:r>
            <w:r>
              <w:rPr>
                <w:sz w:val="21"/>
              </w:rPr>
              <w:t>（</w:t>
            </w:r>
            <w:r>
              <w:rPr>
                <w:rFonts w:ascii="Times New Roman" w:eastAsia="Times New Roman"/>
                <w:sz w:val="21"/>
              </w:rPr>
              <w:t>2003</w:t>
            </w:r>
            <w:r>
              <w:rPr>
                <w:rFonts w:ascii="Times New Roman" w:eastAsia="Times New Roman"/>
                <w:spacing w:val="-9"/>
                <w:sz w:val="21"/>
              </w:rPr>
              <w:t xml:space="preserve"> </w:t>
            </w:r>
            <w:r>
              <w:rPr>
                <w:sz w:val="21"/>
              </w:rPr>
              <w:t>年</w:t>
            </w:r>
            <w:r>
              <w:rPr>
                <w:spacing w:val="-17"/>
                <w:sz w:val="21"/>
              </w:rPr>
              <w:t>）</w:t>
            </w:r>
            <w:r>
              <w:rPr>
                <w:spacing w:val="-4"/>
                <w:sz w:val="21"/>
              </w:rPr>
              <w:t>、澳大利亚为</w:t>
            </w:r>
          </w:p>
          <w:p>
            <w:pPr>
              <w:pStyle w:val="11"/>
              <w:spacing w:before="1" w:line="270" w:lineRule="atLeast"/>
              <w:ind w:left="108" w:right="82"/>
              <w:rPr>
                <w:sz w:val="21"/>
              </w:rPr>
            </w:pPr>
            <w:r>
              <w:rPr>
                <w:rFonts w:ascii="Times New Roman" w:eastAsia="Times New Roman"/>
                <w:sz w:val="21"/>
              </w:rPr>
              <w:t>14.4%</w:t>
            </w:r>
            <w:r>
              <w:rPr>
                <w:sz w:val="21"/>
              </w:rPr>
              <w:t>（</w:t>
            </w:r>
            <w:r>
              <w:rPr>
                <w:rFonts w:ascii="Times New Roman" w:eastAsia="Times New Roman"/>
                <w:sz w:val="21"/>
              </w:rPr>
              <w:t xml:space="preserve">2007 </w:t>
            </w:r>
            <w:r>
              <w:rPr>
                <w:sz w:val="21"/>
              </w:rPr>
              <w:t>年</w:t>
            </w:r>
            <w:r>
              <w:rPr>
                <w:spacing w:val="-8"/>
                <w:sz w:val="21"/>
              </w:rPr>
              <w:t>）</w:t>
            </w:r>
            <w:r>
              <w:rPr>
                <w:spacing w:val="-14"/>
                <w:sz w:val="21"/>
              </w:rPr>
              <w:t xml:space="preserve">、巴西为 </w:t>
            </w:r>
            <w:r>
              <w:rPr>
                <w:rFonts w:ascii="Times New Roman" w:eastAsia="Times New Roman"/>
                <w:sz w:val="21"/>
              </w:rPr>
              <w:t>19.9%</w:t>
            </w:r>
            <w:r>
              <w:rPr>
                <w:sz w:val="21"/>
              </w:rPr>
              <w:t>（</w:t>
            </w:r>
            <w:r>
              <w:rPr>
                <w:rFonts w:ascii="Times New Roman" w:eastAsia="Times New Roman"/>
                <w:sz w:val="21"/>
              </w:rPr>
              <w:t xml:space="preserve">2007 </w:t>
            </w:r>
            <w:r>
              <w:rPr>
                <w:sz w:val="21"/>
              </w:rPr>
              <w:t>年</w:t>
            </w:r>
            <w:r>
              <w:rPr>
                <w:spacing w:val="-5"/>
                <w:sz w:val="21"/>
              </w:rPr>
              <w:t>）</w:t>
            </w:r>
            <w:r>
              <w:rPr>
                <w:spacing w:val="-4"/>
                <w:sz w:val="21"/>
              </w:rPr>
              <w:t>。专家预测，我国焦虑障碍患病率将呈上升趋势。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2"/>
              <w:rPr>
                <w:rFonts w:ascii="宋体"/>
                <w:b/>
                <w:sz w:val="29"/>
              </w:rPr>
            </w:pPr>
          </w:p>
          <w:p>
            <w:pPr>
              <w:pStyle w:val="11"/>
              <w:ind w:left="225"/>
              <w:rPr>
                <w:rFonts w:ascii="Times New Roman"/>
                <w:sz w:val="24"/>
              </w:rPr>
            </w:pPr>
            <w:r>
              <w:rPr>
                <w:rFonts w:ascii="Times New Roman"/>
                <w:sz w:val="24"/>
              </w:rPr>
              <w:t>38</w:t>
            </w:r>
          </w:p>
        </w:tc>
        <w:tc>
          <w:tcPr>
            <w:tcW w:w="3458" w:type="dxa"/>
          </w:tcPr>
          <w:p>
            <w:pPr>
              <w:pStyle w:val="11"/>
              <w:spacing w:before="139"/>
              <w:ind w:left="108"/>
              <w:rPr>
                <w:rFonts w:hint="eastAsia" w:ascii="仿宋" w:eastAsia="仿宋"/>
                <w:b/>
                <w:sz w:val="24"/>
              </w:rPr>
            </w:pPr>
            <w:r>
              <w:rPr>
                <w:rFonts w:hint="eastAsia" w:ascii="仿宋" w:eastAsia="仿宋"/>
                <w:b/>
                <w:sz w:val="24"/>
              </w:rPr>
              <w:t>抑郁症患病率（</w:t>
            </w:r>
            <w:r>
              <w:rPr>
                <w:rFonts w:ascii="Times New Roman" w:eastAsia="Times New Roman"/>
                <w:b/>
                <w:sz w:val="24"/>
              </w:rPr>
              <w:t>%</w:t>
            </w:r>
            <w:r>
              <w:rPr>
                <w:rFonts w:hint="eastAsia" w:ascii="仿宋" w:eastAsia="仿宋"/>
                <w:b/>
                <w:sz w:val="24"/>
              </w:rPr>
              <w:t>）</w:t>
            </w:r>
          </w:p>
        </w:tc>
        <w:tc>
          <w:tcPr>
            <w:tcW w:w="1282" w:type="dxa"/>
          </w:tcPr>
          <w:p>
            <w:pPr>
              <w:pStyle w:val="11"/>
              <w:spacing w:before="2"/>
              <w:ind w:left="89" w:right="116"/>
              <w:jc w:val="center"/>
              <w:rPr>
                <w:rFonts w:hint="eastAsia" w:ascii="仿宋" w:eastAsia="仿宋"/>
                <w:sz w:val="24"/>
              </w:rPr>
            </w:pPr>
            <w:r>
              <w:rPr>
                <w:rFonts w:ascii="Times New Roman" w:eastAsia="Times New Roman"/>
                <w:sz w:val="24"/>
              </w:rPr>
              <w:t xml:space="preserve">2014 </w:t>
            </w:r>
            <w:r>
              <w:rPr>
                <w:rFonts w:hint="eastAsia" w:ascii="仿宋" w:eastAsia="仿宋"/>
                <w:sz w:val="24"/>
              </w:rPr>
              <w:t>年为</w:t>
            </w:r>
          </w:p>
          <w:p>
            <w:pPr>
              <w:pStyle w:val="11"/>
              <w:spacing w:before="2" w:line="256" w:lineRule="exact"/>
              <w:ind w:left="89" w:right="76"/>
              <w:jc w:val="center"/>
              <w:rPr>
                <w:rFonts w:ascii="Times New Roman"/>
                <w:sz w:val="24"/>
              </w:rPr>
            </w:pPr>
            <w:r>
              <w:rPr>
                <w:rFonts w:ascii="Times New Roman"/>
                <w:sz w:val="24"/>
              </w:rPr>
              <w:t>2.1</w:t>
            </w:r>
          </w:p>
        </w:tc>
        <w:tc>
          <w:tcPr>
            <w:tcW w:w="1702" w:type="dxa"/>
            <w:gridSpan w:val="2"/>
          </w:tcPr>
          <w:p>
            <w:pPr>
              <w:pStyle w:val="11"/>
              <w:spacing w:before="139"/>
              <w:ind w:left="129"/>
              <w:rPr>
                <w:rFonts w:hint="eastAsia" w:ascii="仿宋" w:eastAsia="仿宋"/>
                <w:sz w:val="24"/>
              </w:rPr>
            </w:pPr>
            <w:r>
              <w:rPr>
                <w:rFonts w:hint="eastAsia" w:ascii="仿宋" w:eastAsia="仿宋"/>
                <w:sz w:val="24"/>
              </w:rPr>
              <w:t>上升趋势减缓</w:t>
            </w:r>
          </w:p>
        </w:tc>
        <w:tc>
          <w:tcPr>
            <w:tcW w:w="1050" w:type="dxa"/>
          </w:tcPr>
          <w:p>
            <w:pPr>
              <w:pStyle w:val="11"/>
              <w:spacing w:before="139"/>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0"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2" w:line="242" w:lineRule="auto"/>
              <w:ind w:left="108" w:right="-15"/>
              <w:rPr>
                <w:rFonts w:ascii="Times New Roman" w:eastAsia="Times New Roman"/>
                <w:sz w:val="21"/>
              </w:rPr>
            </w:pPr>
            <w:r>
              <w:rPr>
                <w:spacing w:val="-16"/>
                <w:sz w:val="21"/>
              </w:rPr>
              <w:t xml:space="preserve">说明：抑郁症是一种常见疾病，指情绪低落、兴趣丧失、精力缺乏持续 </w:t>
            </w:r>
            <w:r>
              <w:rPr>
                <w:rFonts w:ascii="Times New Roman" w:eastAsia="Times New Roman"/>
                <w:sz w:val="21"/>
              </w:rPr>
              <w:t>2</w:t>
            </w:r>
            <w:r>
              <w:rPr>
                <w:rFonts w:ascii="Times New Roman" w:eastAsia="Times New Roman"/>
                <w:spacing w:val="-8"/>
                <w:sz w:val="21"/>
              </w:rPr>
              <w:t xml:space="preserve"> </w:t>
            </w:r>
            <w:r>
              <w:rPr>
                <w:sz w:val="21"/>
              </w:rPr>
              <w:t xml:space="preserve">周以上， </w:t>
            </w:r>
            <w:r>
              <w:rPr>
                <w:spacing w:val="-8"/>
                <w:sz w:val="21"/>
              </w:rPr>
              <w:t>有显著情感、认知和自主神经功能改变并在发作间歇期症状缓解。抑郁症患病率</w:t>
            </w:r>
            <w:r>
              <w:rPr>
                <w:spacing w:val="-24"/>
                <w:sz w:val="21"/>
              </w:rPr>
              <w:t xml:space="preserve">美国 </w:t>
            </w:r>
            <w:r>
              <w:rPr>
                <w:rFonts w:ascii="Times New Roman" w:eastAsia="Times New Roman"/>
                <w:sz w:val="21"/>
              </w:rPr>
              <w:t>2003</w:t>
            </w:r>
            <w:r>
              <w:rPr>
                <w:rFonts w:ascii="Times New Roman" w:eastAsia="Times New Roman"/>
                <w:spacing w:val="-2"/>
                <w:sz w:val="21"/>
              </w:rPr>
              <w:t xml:space="preserve"> </w:t>
            </w:r>
            <w:r>
              <w:rPr>
                <w:spacing w:val="-18"/>
                <w:sz w:val="21"/>
              </w:rPr>
              <w:t xml:space="preserve">年为 </w:t>
            </w:r>
            <w:r>
              <w:rPr>
                <w:rFonts w:ascii="Times New Roman" w:eastAsia="Times New Roman"/>
                <w:sz w:val="21"/>
              </w:rPr>
              <w:t>6.6%</w:t>
            </w:r>
            <w:r>
              <w:rPr>
                <w:spacing w:val="-33"/>
                <w:sz w:val="21"/>
              </w:rPr>
              <w:t xml:space="preserve">、法国 </w:t>
            </w:r>
            <w:r>
              <w:rPr>
                <w:rFonts w:ascii="Times New Roman" w:eastAsia="Times New Roman"/>
                <w:sz w:val="21"/>
              </w:rPr>
              <w:t>2002</w:t>
            </w:r>
            <w:r>
              <w:rPr>
                <w:rFonts w:ascii="Times New Roman" w:eastAsia="Times New Roman"/>
                <w:spacing w:val="-1"/>
                <w:sz w:val="21"/>
              </w:rPr>
              <w:t xml:space="preserve"> </w:t>
            </w:r>
            <w:r>
              <w:rPr>
                <w:spacing w:val="-17"/>
                <w:sz w:val="21"/>
              </w:rPr>
              <w:t xml:space="preserve">年为 </w:t>
            </w:r>
            <w:r>
              <w:rPr>
                <w:rFonts w:ascii="Times New Roman" w:eastAsia="Times New Roman"/>
                <w:sz w:val="21"/>
              </w:rPr>
              <w:t>5.9%</w:t>
            </w:r>
            <w:r>
              <w:rPr>
                <w:spacing w:val="-33"/>
                <w:sz w:val="21"/>
              </w:rPr>
              <w:t xml:space="preserve">、巴西 </w:t>
            </w:r>
            <w:r>
              <w:rPr>
                <w:rFonts w:ascii="Times New Roman" w:eastAsia="Times New Roman"/>
                <w:sz w:val="21"/>
              </w:rPr>
              <w:t>2007</w:t>
            </w:r>
            <w:r>
              <w:rPr>
                <w:rFonts w:ascii="Times New Roman" w:eastAsia="Times New Roman"/>
                <w:spacing w:val="-2"/>
                <w:sz w:val="21"/>
              </w:rPr>
              <w:t xml:space="preserve"> </w:t>
            </w:r>
            <w:r>
              <w:rPr>
                <w:spacing w:val="-17"/>
                <w:sz w:val="21"/>
              </w:rPr>
              <w:t xml:space="preserve">年为 </w:t>
            </w:r>
            <w:r>
              <w:rPr>
                <w:rFonts w:ascii="Times New Roman" w:eastAsia="Times New Roman"/>
                <w:sz w:val="21"/>
              </w:rPr>
              <w:t>9.4%</w:t>
            </w:r>
            <w:r>
              <w:rPr>
                <w:spacing w:val="-22"/>
                <w:sz w:val="21"/>
              </w:rPr>
              <w:t xml:space="preserve">、澳大利亚 </w:t>
            </w:r>
            <w:r>
              <w:rPr>
                <w:rFonts w:ascii="Times New Roman" w:eastAsia="Times New Roman"/>
                <w:sz w:val="21"/>
              </w:rPr>
              <w:t>2007</w:t>
            </w:r>
          </w:p>
          <w:p>
            <w:pPr>
              <w:pStyle w:val="11"/>
              <w:spacing w:line="252" w:lineRule="exact"/>
              <w:ind w:left="108"/>
              <w:rPr>
                <w:sz w:val="21"/>
              </w:rPr>
            </w:pPr>
            <w:r>
              <w:rPr>
                <w:sz w:val="21"/>
              </w:rPr>
              <w:t xml:space="preserve">年为 </w:t>
            </w:r>
            <w:r>
              <w:rPr>
                <w:rFonts w:ascii="Times New Roman" w:eastAsia="Times New Roman"/>
                <w:sz w:val="21"/>
              </w:rPr>
              <w:t>4.1%</w:t>
            </w:r>
            <w:r>
              <w:rPr>
                <w:sz w:val="21"/>
              </w:rPr>
              <w:t>。专家预测，我国抑郁症患病率将呈上升趋势。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trPr>
        <w:tc>
          <w:tcPr>
            <w:tcW w:w="695" w:type="dxa"/>
            <w:vMerge w:val="continue"/>
            <w:tcBorders>
              <w:top w:val="nil"/>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个人和社会倡导性指标</w:t>
            </w:r>
          </w:p>
        </w:tc>
      </w:tr>
    </w:tbl>
    <w:p>
      <w:pPr>
        <w:spacing w:after="0"/>
        <w:rPr>
          <w:rFonts w:hint="eastAsia" w:ascii="黑体" w:eastAsia="黑体"/>
          <w:sz w:val="24"/>
        </w:rPr>
        <w:sectPr>
          <w:pgSz w:w="11910" w:h="16840"/>
          <w:pgMar w:top="1420" w:right="1140" w:bottom="1300" w:left="1400" w:header="0" w:footer="1120" w:gutter="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spacing w:before="182" w:line="242" w:lineRule="auto"/>
              <w:ind w:left="226" w:right="10" w:hanging="120"/>
              <w:rPr>
                <w:rFonts w:hint="eastAsia" w:ascii="黑体" w:eastAsia="黑体"/>
                <w:sz w:val="24"/>
              </w:rPr>
            </w:pPr>
            <w:r>
              <w:rPr>
                <w:rFonts w:hint="eastAsia" w:ascii="黑体" w:eastAsia="黑体"/>
                <w:w w:val="85"/>
                <w:sz w:val="21"/>
              </w:rPr>
              <w:t xml:space="preserve">（五） </w:t>
            </w:r>
            <w:r>
              <w:rPr>
                <w:rFonts w:hint="eastAsia" w:ascii="黑体" w:eastAsia="黑体"/>
                <w:sz w:val="24"/>
              </w:rPr>
              <w:t>心理健康促进行</w:t>
            </w:r>
          </w:p>
          <w:p>
            <w:pPr>
              <w:pStyle w:val="11"/>
              <w:spacing w:before="6" w:line="291" w:lineRule="exact"/>
              <w:ind w:left="226"/>
              <w:rPr>
                <w:rFonts w:hint="eastAsia" w:ascii="黑体" w:eastAsia="黑体"/>
                <w:sz w:val="24"/>
              </w:rPr>
            </w:pPr>
            <w:r>
              <w:rPr>
                <w:rFonts w:hint="eastAsia" w:ascii="黑体" w:eastAsia="黑体"/>
                <w:sz w:val="24"/>
              </w:rPr>
              <w:t>动</w:t>
            </w:r>
          </w:p>
        </w:tc>
        <w:tc>
          <w:tcPr>
            <w:tcW w:w="693" w:type="dxa"/>
            <w:vMerge w:val="restart"/>
          </w:tcPr>
          <w:p>
            <w:pPr>
              <w:pStyle w:val="11"/>
              <w:spacing w:before="6"/>
              <w:rPr>
                <w:rFonts w:ascii="宋体"/>
                <w:b/>
                <w:sz w:val="26"/>
              </w:rPr>
            </w:pPr>
          </w:p>
          <w:p>
            <w:pPr>
              <w:pStyle w:val="11"/>
              <w:ind w:left="225"/>
              <w:rPr>
                <w:rFonts w:ascii="Times New Roman"/>
                <w:sz w:val="24"/>
              </w:rPr>
            </w:pPr>
            <w:r>
              <w:rPr>
                <w:rFonts w:ascii="Times New Roman"/>
                <w:sz w:val="24"/>
              </w:rPr>
              <w:t>39</w:t>
            </w:r>
          </w:p>
        </w:tc>
        <w:tc>
          <w:tcPr>
            <w:tcW w:w="3458" w:type="dxa"/>
          </w:tcPr>
          <w:p>
            <w:pPr>
              <w:pStyle w:val="11"/>
              <w:spacing w:before="45"/>
              <w:ind w:left="108" w:right="-29"/>
              <w:rPr>
                <w:rFonts w:hint="eastAsia" w:ascii="仿宋" w:eastAsia="仿宋"/>
                <w:b/>
                <w:sz w:val="24"/>
              </w:rPr>
            </w:pPr>
            <w:r>
              <w:rPr>
                <w:rFonts w:hint="eastAsia" w:ascii="仿宋" w:eastAsia="仿宋"/>
                <w:b/>
                <w:spacing w:val="-2"/>
                <w:sz w:val="24"/>
              </w:rPr>
              <w:t>成人每日平均睡眠时间</w:t>
            </w:r>
            <w:r>
              <w:rPr>
                <w:rFonts w:hint="eastAsia" w:ascii="仿宋" w:eastAsia="仿宋"/>
                <w:b/>
                <w:sz w:val="24"/>
              </w:rPr>
              <w:t>（小时</w:t>
            </w:r>
            <w:r>
              <w:rPr>
                <w:rFonts w:hint="eastAsia" w:ascii="仿宋" w:eastAsia="仿宋"/>
                <w:b/>
                <w:spacing w:val="-14"/>
                <w:sz w:val="24"/>
              </w:rPr>
              <w:t>）</w:t>
            </w:r>
          </w:p>
        </w:tc>
        <w:tc>
          <w:tcPr>
            <w:tcW w:w="1282" w:type="dxa"/>
          </w:tcPr>
          <w:p>
            <w:pPr>
              <w:pStyle w:val="11"/>
              <w:spacing w:before="61"/>
              <w:ind w:left="89" w:right="76"/>
              <w:jc w:val="center"/>
              <w:rPr>
                <w:rFonts w:ascii="Times New Roman"/>
                <w:sz w:val="24"/>
              </w:rPr>
            </w:pPr>
            <w:r>
              <w:rPr>
                <w:rFonts w:ascii="Times New Roman"/>
                <w:sz w:val="24"/>
              </w:rPr>
              <w:t>6.5</w:t>
            </w:r>
          </w:p>
        </w:tc>
        <w:tc>
          <w:tcPr>
            <w:tcW w:w="1702" w:type="dxa"/>
            <w:gridSpan w:val="2"/>
          </w:tcPr>
          <w:p>
            <w:pPr>
              <w:pStyle w:val="11"/>
              <w:spacing w:before="45"/>
              <w:ind w:left="551" w:right="539"/>
              <w:jc w:val="center"/>
              <w:rPr>
                <w:rFonts w:ascii="Times New Roman" w:eastAsia="Times New Roman"/>
                <w:sz w:val="24"/>
              </w:rPr>
            </w:pPr>
            <w:r>
              <w:rPr>
                <w:rFonts w:ascii="Times New Roman" w:eastAsia="Times New Roman"/>
                <w:sz w:val="24"/>
              </w:rPr>
              <w:t>7</w:t>
            </w:r>
            <w:r>
              <w:rPr>
                <w:rFonts w:hint="eastAsia" w:ascii="仿宋" w:eastAsia="仿宋"/>
                <w:sz w:val="24"/>
              </w:rPr>
              <w:t>～</w:t>
            </w:r>
            <w:r>
              <w:rPr>
                <w:rFonts w:ascii="Times New Roman" w:eastAsia="Times New Roman"/>
                <w:sz w:val="24"/>
              </w:rPr>
              <w:t>8</w:t>
            </w:r>
          </w:p>
        </w:tc>
        <w:tc>
          <w:tcPr>
            <w:tcW w:w="1050" w:type="dxa"/>
          </w:tcPr>
          <w:p>
            <w:pPr>
              <w:pStyle w:val="11"/>
              <w:spacing w:before="45"/>
              <w:ind w:right="147"/>
              <w:jc w:val="right"/>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ind w:left="108"/>
              <w:rPr>
                <w:sz w:val="21"/>
              </w:rPr>
            </w:pPr>
            <w:r>
              <w:rPr>
                <w:sz w:val="21"/>
              </w:rPr>
              <w:t>说明：长期的睡眠不足会加大患心脑血管疾病、抑郁症、糖尿病和肥胖的风险，</w:t>
            </w:r>
          </w:p>
          <w:p>
            <w:pPr>
              <w:pStyle w:val="11"/>
              <w:spacing w:before="3" w:line="252" w:lineRule="exact"/>
              <w:ind w:left="108"/>
              <w:rPr>
                <w:sz w:val="21"/>
              </w:rPr>
            </w:pPr>
            <w:r>
              <w:rPr>
                <w:sz w:val="21"/>
              </w:rPr>
              <w:t>损害认知功能、记忆力和免疫系统。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tcPr>
          <w:p>
            <w:pPr>
              <w:pStyle w:val="11"/>
              <w:spacing w:before="174"/>
              <w:ind w:left="225"/>
              <w:rPr>
                <w:rFonts w:ascii="Times New Roman"/>
                <w:sz w:val="24"/>
              </w:rPr>
            </w:pPr>
            <w:r>
              <w:rPr>
                <w:rFonts w:ascii="Times New Roman"/>
                <w:sz w:val="24"/>
              </w:rPr>
              <w:t>40</w:t>
            </w:r>
          </w:p>
        </w:tc>
        <w:tc>
          <w:tcPr>
            <w:tcW w:w="6442" w:type="dxa"/>
            <w:gridSpan w:val="4"/>
          </w:tcPr>
          <w:p>
            <w:pPr>
              <w:pStyle w:val="11"/>
              <w:spacing w:before="2"/>
              <w:ind w:left="108"/>
              <w:rPr>
                <w:rFonts w:hint="eastAsia" w:ascii="仿宋" w:eastAsia="仿宋"/>
                <w:b/>
                <w:sz w:val="24"/>
              </w:rPr>
            </w:pPr>
            <w:r>
              <w:rPr>
                <w:rFonts w:hint="eastAsia" w:ascii="仿宋" w:eastAsia="仿宋"/>
                <w:b/>
                <w:sz w:val="24"/>
              </w:rPr>
              <w:t>鼓励个人正确认识抑郁和焦虑症状，掌握基本的情绪管理、</w:t>
            </w:r>
          </w:p>
          <w:p>
            <w:pPr>
              <w:pStyle w:val="11"/>
              <w:spacing w:before="4" w:line="289" w:lineRule="exact"/>
              <w:ind w:left="108"/>
              <w:rPr>
                <w:rFonts w:hint="eastAsia" w:ascii="仿宋" w:eastAsia="仿宋"/>
                <w:b/>
                <w:sz w:val="24"/>
              </w:rPr>
            </w:pPr>
            <w:r>
              <w:rPr>
                <w:rFonts w:hint="eastAsia" w:ascii="仿宋" w:eastAsia="仿宋"/>
                <w:b/>
                <w:sz w:val="24"/>
              </w:rPr>
              <w:t>压力管理等自我心理调适方法</w:t>
            </w:r>
          </w:p>
        </w:tc>
        <w:tc>
          <w:tcPr>
            <w:tcW w:w="1050" w:type="dxa"/>
          </w:tcPr>
          <w:p>
            <w:pPr>
              <w:pStyle w:val="11"/>
              <w:spacing w:before="158"/>
              <w:ind w:right="147"/>
              <w:jc w:val="right"/>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tcPr>
          <w:p>
            <w:pPr>
              <w:pStyle w:val="11"/>
              <w:spacing w:before="172"/>
              <w:ind w:left="225"/>
              <w:rPr>
                <w:rFonts w:ascii="Times New Roman"/>
                <w:sz w:val="24"/>
              </w:rPr>
            </w:pPr>
            <w:r>
              <w:rPr>
                <w:rFonts w:ascii="Times New Roman"/>
                <w:sz w:val="24"/>
              </w:rPr>
              <w:t>41</w:t>
            </w:r>
          </w:p>
        </w:tc>
        <w:tc>
          <w:tcPr>
            <w:tcW w:w="6442" w:type="dxa"/>
            <w:gridSpan w:val="4"/>
          </w:tcPr>
          <w:p>
            <w:pPr>
              <w:pStyle w:val="11"/>
              <w:ind w:left="108"/>
              <w:rPr>
                <w:rFonts w:hint="eastAsia" w:ascii="仿宋" w:eastAsia="仿宋"/>
                <w:b/>
                <w:sz w:val="24"/>
              </w:rPr>
            </w:pPr>
            <w:r>
              <w:rPr>
                <w:rFonts w:hint="eastAsia" w:ascii="仿宋" w:eastAsia="仿宋"/>
                <w:b/>
                <w:sz w:val="24"/>
              </w:rPr>
              <w:t>各类临床医务人员主动掌握心理健康知识和技能，应用于临</w:t>
            </w:r>
          </w:p>
          <w:p>
            <w:pPr>
              <w:pStyle w:val="11"/>
              <w:spacing w:before="4" w:line="290" w:lineRule="exact"/>
              <w:ind w:left="108"/>
              <w:rPr>
                <w:rFonts w:hint="eastAsia" w:ascii="仿宋" w:eastAsia="仿宋"/>
                <w:b/>
                <w:sz w:val="24"/>
              </w:rPr>
            </w:pPr>
            <w:r>
              <w:rPr>
                <w:rFonts w:hint="eastAsia" w:ascii="仿宋" w:eastAsia="仿宋"/>
                <w:b/>
                <w:sz w:val="24"/>
              </w:rPr>
              <w:t>床诊疗活动中</w:t>
            </w:r>
          </w:p>
        </w:tc>
        <w:tc>
          <w:tcPr>
            <w:tcW w:w="1050" w:type="dxa"/>
          </w:tcPr>
          <w:p>
            <w:pPr>
              <w:pStyle w:val="11"/>
              <w:spacing w:before="156"/>
              <w:ind w:right="147"/>
              <w:jc w:val="right"/>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4"/>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spacing w:before="3"/>
              <w:rPr>
                <w:rFonts w:ascii="宋体"/>
                <w:b/>
                <w:sz w:val="36"/>
              </w:rPr>
            </w:pPr>
          </w:p>
          <w:p>
            <w:pPr>
              <w:pStyle w:val="11"/>
              <w:ind w:left="225"/>
              <w:rPr>
                <w:rFonts w:ascii="Times New Roman"/>
                <w:sz w:val="24"/>
              </w:rPr>
            </w:pPr>
            <w:r>
              <w:rPr>
                <w:rFonts w:ascii="Times New Roman"/>
                <w:sz w:val="24"/>
              </w:rPr>
              <w:t>42</w:t>
            </w:r>
          </w:p>
        </w:tc>
        <w:tc>
          <w:tcPr>
            <w:tcW w:w="3458" w:type="dxa"/>
          </w:tcPr>
          <w:p>
            <w:pPr>
              <w:pStyle w:val="11"/>
              <w:spacing w:before="2"/>
              <w:ind w:left="108"/>
              <w:rPr>
                <w:rFonts w:ascii="Times New Roman" w:eastAsia="Times New Roman"/>
                <w:b/>
                <w:sz w:val="24"/>
              </w:rPr>
            </w:pPr>
            <w:r>
              <w:rPr>
                <w:rFonts w:hint="eastAsia" w:ascii="仿宋" w:eastAsia="仿宋"/>
                <w:b/>
                <w:spacing w:val="-13"/>
                <w:sz w:val="24"/>
              </w:rPr>
              <w:t>精神科执业</w:t>
            </w:r>
            <w:r>
              <w:rPr>
                <w:rFonts w:hint="eastAsia" w:ascii="仿宋" w:eastAsia="仿宋"/>
                <w:b/>
                <w:sz w:val="24"/>
              </w:rPr>
              <w:t>（助理</w:t>
            </w:r>
            <w:r>
              <w:rPr>
                <w:rFonts w:hint="eastAsia" w:ascii="仿宋" w:eastAsia="仿宋"/>
                <w:b/>
                <w:spacing w:val="-65"/>
                <w:sz w:val="24"/>
              </w:rPr>
              <w:t>）</w:t>
            </w:r>
            <w:r>
              <w:rPr>
                <w:rFonts w:hint="eastAsia" w:ascii="仿宋" w:eastAsia="仿宋"/>
                <w:b/>
                <w:spacing w:val="-32"/>
                <w:sz w:val="24"/>
              </w:rPr>
              <w:t>医师</w:t>
            </w:r>
            <w:r>
              <w:rPr>
                <w:rFonts w:hint="eastAsia" w:ascii="仿宋" w:eastAsia="仿宋"/>
                <w:b/>
                <w:sz w:val="24"/>
              </w:rPr>
              <w:t>（名</w:t>
            </w:r>
            <w:r>
              <w:rPr>
                <w:rFonts w:ascii="Times New Roman" w:eastAsia="Times New Roman"/>
                <w:b/>
                <w:sz w:val="24"/>
              </w:rPr>
              <w:t>/10</w:t>
            </w:r>
          </w:p>
          <w:p>
            <w:pPr>
              <w:pStyle w:val="11"/>
              <w:spacing w:before="5" w:line="289" w:lineRule="exact"/>
              <w:ind w:left="108"/>
              <w:rPr>
                <w:rFonts w:hint="eastAsia" w:ascii="仿宋" w:eastAsia="仿宋"/>
                <w:b/>
                <w:sz w:val="24"/>
              </w:rPr>
            </w:pPr>
            <w:r>
              <w:rPr>
                <w:rFonts w:hint="eastAsia" w:ascii="仿宋" w:eastAsia="仿宋"/>
                <w:b/>
                <w:sz w:val="24"/>
              </w:rPr>
              <w:t>万人）</w:t>
            </w:r>
          </w:p>
        </w:tc>
        <w:tc>
          <w:tcPr>
            <w:tcW w:w="1282" w:type="dxa"/>
          </w:tcPr>
          <w:p>
            <w:pPr>
              <w:pStyle w:val="11"/>
              <w:spacing w:before="174"/>
              <w:ind w:left="89" w:right="76"/>
              <w:jc w:val="center"/>
              <w:rPr>
                <w:rFonts w:ascii="Times New Roman"/>
                <w:sz w:val="24"/>
              </w:rPr>
            </w:pPr>
            <w:r>
              <w:rPr>
                <w:rFonts w:ascii="Times New Roman"/>
                <w:sz w:val="24"/>
              </w:rPr>
              <w:t>2.55</w:t>
            </w:r>
          </w:p>
        </w:tc>
        <w:tc>
          <w:tcPr>
            <w:tcW w:w="851" w:type="dxa"/>
          </w:tcPr>
          <w:p>
            <w:pPr>
              <w:pStyle w:val="11"/>
              <w:spacing w:before="174"/>
              <w:ind w:left="273"/>
              <w:rPr>
                <w:rFonts w:ascii="Times New Roman"/>
                <w:sz w:val="24"/>
              </w:rPr>
            </w:pPr>
            <w:r>
              <w:rPr>
                <w:rFonts w:ascii="Times New Roman"/>
                <w:sz w:val="24"/>
              </w:rPr>
              <w:t>3.3</w:t>
            </w:r>
          </w:p>
        </w:tc>
        <w:tc>
          <w:tcPr>
            <w:tcW w:w="851" w:type="dxa"/>
          </w:tcPr>
          <w:p>
            <w:pPr>
              <w:pStyle w:val="11"/>
              <w:spacing w:before="174"/>
              <w:ind w:left="274"/>
              <w:rPr>
                <w:rFonts w:ascii="Times New Roman"/>
                <w:sz w:val="24"/>
              </w:rPr>
            </w:pPr>
            <w:r>
              <w:rPr>
                <w:rFonts w:ascii="Times New Roman"/>
                <w:sz w:val="24"/>
              </w:rPr>
              <w:t>4.5</w:t>
            </w:r>
          </w:p>
        </w:tc>
        <w:tc>
          <w:tcPr>
            <w:tcW w:w="1050" w:type="dxa"/>
          </w:tcPr>
          <w:p>
            <w:pPr>
              <w:pStyle w:val="11"/>
              <w:spacing w:before="158"/>
              <w:ind w:right="147"/>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0"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1"/>
              <w:ind w:left="108"/>
              <w:rPr>
                <w:sz w:val="21"/>
              </w:rPr>
            </w:pPr>
            <w:r>
              <w:rPr>
                <w:sz w:val="21"/>
              </w:rPr>
              <w:t>说明：</w:t>
            </w:r>
            <w:r>
              <w:rPr>
                <w:rFonts w:ascii="Times New Roman" w:eastAsia="Times New Roman"/>
                <w:sz w:val="21"/>
              </w:rPr>
              <w:t xml:space="preserve">2015 </w:t>
            </w:r>
            <w:r>
              <w:rPr>
                <w:sz w:val="21"/>
              </w:rPr>
              <w:t xml:space="preserve">年，中高收入国家精神科医师 </w:t>
            </w:r>
            <w:r>
              <w:rPr>
                <w:rFonts w:ascii="Times New Roman" w:eastAsia="Times New Roman"/>
                <w:sz w:val="21"/>
              </w:rPr>
              <w:t xml:space="preserve">6.6 </w:t>
            </w:r>
            <w:r>
              <w:rPr>
                <w:sz w:val="21"/>
              </w:rPr>
              <w:t>名</w:t>
            </w:r>
            <w:r>
              <w:rPr>
                <w:rFonts w:ascii="Times New Roman" w:eastAsia="Times New Roman"/>
                <w:sz w:val="21"/>
              </w:rPr>
              <w:t xml:space="preserve">/10 </w:t>
            </w:r>
            <w:r>
              <w:rPr>
                <w:sz w:val="21"/>
              </w:rPr>
              <w:t>万。</w:t>
            </w:r>
          </w:p>
          <w:p>
            <w:pPr>
              <w:pStyle w:val="11"/>
              <w:spacing w:before="4" w:line="265" w:lineRule="exact"/>
              <w:ind w:left="108"/>
              <w:rPr>
                <w:sz w:val="21"/>
              </w:rPr>
            </w:pPr>
            <w:r>
              <w:rPr>
                <w:sz w:val="21"/>
              </w:rPr>
              <w:t>计算方法：我国精神科执业（助理）医师人数</w:t>
            </w:r>
            <w:r>
              <w:rPr>
                <w:rFonts w:ascii="Times New Roman" w:hAnsi="Times New Roman" w:eastAsia="Times New Roman"/>
                <w:sz w:val="21"/>
              </w:rPr>
              <w:t>/</w:t>
            </w:r>
            <w:r>
              <w:rPr>
                <w:sz w:val="21"/>
              </w:rPr>
              <w:t>人口总数</w:t>
            </w:r>
            <w:r>
              <w:rPr>
                <w:rFonts w:ascii="Times New Roman" w:hAnsi="Times New Roman" w:eastAsia="Times New Roman"/>
                <w:sz w:val="21"/>
              </w:rPr>
              <w:t xml:space="preserve">×10 </w:t>
            </w:r>
            <w:r>
              <w:rPr>
                <w:sz w:val="21"/>
              </w:rPr>
              <w:t>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0"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10"/>
              <w:rPr>
                <w:rFonts w:ascii="宋体"/>
                <w:b/>
                <w:sz w:val="29"/>
              </w:rPr>
            </w:pPr>
          </w:p>
          <w:p>
            <w:pPr>
              <w:pStyle w:val="11"/>
              <w:spacing w:line="242" w:lineRule="auto"/>
              <w:ind w:left="226" w:right="10" w:hanging="120"/>
              <w:rPr>
                <w:rFonts w:hint="eastAsia" w:ascii="黑体" w:eastAsia="黑体"/>
                <w:sz w:val="24"/>
              </w:rPr>
            </w:pPr>
            <w:r>
              <w:rPr>
                <w:rFonts w:hint="eastAsia" w:ascii="黑体" w:eastAsia="黑体"/>
                <w:w w:val="85"/>
                <w:sz w:val="21"/>
              </w:rPr>
              <w:t xml:space="preserve">（六） </w:t>
            </w:r>
            <w:r>
              <w:rPr>
                <w:rFonts w:hint="eastAsia" w:ascii="黑体" w:eastAsia="黑体"/>
                <w:sz w:val="24"/>
              </w:rPr>
              <w:t>健康环境促进行动</w:t>
            </w:r>
          </w:p>
        </w:tc>
        <w:tc>
          <w:tcPr>
            <w:tcW w:w="8185" w:type="dxa"/>
            <w:gridSpan w:val="6"/>
          </w:tcPr>
          <w:p>
            <w:pPr>
              <w:pStyle w:val="11"/>
              <w:spacing w:before="1" w:line="290" w:lineRule="exact"/>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7" w:hRule="atLeast"/>
        </w:trPr>
        <w:tc>
          <w:tcPr>
            <w:tcW w:w="695" w:type="dxa"/>
            <w:vMerge w:val="continue"/>
            <w:tcBorders>
              <w:top w:val="nil"/>
            </w:tcBorders>
          </w:tcPr>
          <w:p>
            <w:pPr>
              <w:rPr>
                <w:sz w:val="2"/>
                <w:szCs w:val="2"/>
              </w:rPr>
            </w:pPr>
          </w:p>
        </w:tc>
        <w:tc>
          <w:tcPr>
            <w:tcW w:w="693" w:type="dxa"/>
            <w:vMerge w:val="restart"/>
          </w:tcPr>
          <w:p>
            <w:pPr>
              <w:pStyle w:val="11"/>
              <w:spacing w:before="11"/>
              <w:rPr>
                <w:rFonts w:ascii="宋体"/>
                <w:b/>
                <w:sz w:val="37"/>
              </w:rPr>
            </w:pPr>
          </w:p>
          <w:p>
            <w:pPr>
              <w:pStyle w:val="11"/>
              <w:ind w:left="225"/>
              <w:rPr>
                <w:rFonts w:ascii="Times New Roman"/>
                <w:sz w:val="24"/>
              </w:rPr>
            </w:pPr>
            <w:r>
              <w:rPr>
                <w:rFonts w:ascii="Times New Roman"/>
                <w:sz w:val="24"/>
              </w:rPr>
              <w:t>43</w:t>
            </w:r>
          </w:p>
        </w:tc>
        <w:tc>
          <w:tcPr>
            <w:tcW w:w="3458" w:type="dxa"/>
          </w:tcPr>
          <w:p>
            <w:pPr>
              <w:pStyle w:val="11"/>
              <w:spacing w:before="1"/>
              <w:rPr>
                <w:rFonts w:ascii="宋体"/>
                <w:b/>
                <w:sz w:val="20"/>
              </w:rPr>
            </w:pPr>
          </w:p>
          <w:p>
            <w:pPr>
              <w:pStyle w:val="11"/>
              <w:spacing w:before="1"/>
              <w:ind w:left="108"/>
              <w:rPr>
                <w:rFonts w:hint="eastAsia" w:ascii="仿宋" w:eastAsia="仿宋"/>
                <w:b/>
                <w:sz w:val="24"/>
              </w:rPr>
            </w:pPr>
            <w:r>
              <w:rPr>
                <w:rFonts w:hint="eastAsia" w:ascii="仿宋" w:eastAsia="仿宋"/>
                <w:b/>
                <w:sz w:val="24"/>
              </w:rPr>
              <w:t>居民饮用水水质达标情况</w:t>
            </w:r>
          </w:p>
        </w:tc>
        <w:tc>
          <w:tcPr>
            <w:tcW w:w="1282" w:type="dxa"/>
          </w:tcPr>
          <w:p>
            <w:pPr>
              <w:pStyle w:val="11"/>
              <w:spacing w:before="4"/>
              <w:rPr>
                <w:rFonts w:ascii="宋体"/>
                <w:b/>
                <w:sz w:val="21"/>
              </w:rPr>
            </w:pPr>
          </w:p>
          <w:p>
            <w:pPr>
              <w:pStyle w:val="11"/>
              <w:spacing w:before="1"/>
              <w:ind w:left="16"/>
              <w:jc w:val="center"/>
              <w:rPr>
                <w:rFonts w:ascii="Times New Roman" w:hAnsi="Times New Roman"/>
                <w:sz w:val="24"/>
              </w:rPr>
            </w:pPr>
            <w:r>
              <w:rPr>
                <w:rFonts w:ascii="Times New Roman" w:hAnsi="Times New Roman"/>
                <w:sz w:val="24"/>
              </w:rPr>
              <w:t>—</w:t>
            </w:r>
          </w:p>
        </w:tc>
        <w:tc>
          <w:tcPr>
            <w:tcW w:w="851" w:type="dxa"/>
          </w:tcPr>
          <w:p>
            <w:pPr>
              <w:pStyle w:val="11"/>
              <w:spacing w:before="102" w:line="242" w:lineRule="auto"/>
              <w:ind w:left="185" w:right="168"/>
              <w:rPr>
                <w:rFonts w:hint="eastAsia" w:ascii="仿宋" w:eastAsia="仿宋"/>
                <w:sz w:val="24"/>
              </w:rPr>
            </w:pPr>
            <w:r>
              <w:rPr>
                <w:rFonts w:hint="eastAsia" w:ascii="仿宋" w:eastAsia="仿宋"/>
                <w:sz w:val="24"/>
              </w:rPr>
              <w:t>明显改善</w:t>
            </w:r>
          </w:p>
        </w:tc>
        <w:tc>
          <w:tcPr>
            <w:tcW w:w="851" w:type="dxa"/>
          </w:tcPr>
          <w:p>
            <w:pPr>
              <w:pStyle w:val="11"/>
              <w:spacing w:before="102" w:line="242" w:lineRule="auto"/>
              <w:ind w:left="183" w:right="170"/>
              <w:rPr>
                <w:rFonts w:hint="eastAsia" w:ascii="仿宋" w:eastAsia="仿宋"/>
                <w:sz w:val="24"/>
              </w:rPr>
            </w:pPr>
            <w:r>
              <w:rPr>
                <w:rFonts w:hint="eastAsia" w:ascii="仿宋" w:eastAsia="仿宋"/>
                <w:sz w:val="24"/>
              </w:rPr>
              <w:t>持续改善</w:t>
            </w:r>
          </w:p>
        </w:tc>
        <w:tc>
          <w:tcPr>
            <w:tcW w:w="1050" w:type="dxa"/>
          </w:tcPr>
          <w:p>
            <w:pPr>
              <w:pStyle w:val="11"/>
              <w:spacing w:before="1"/>
              <w:rPr>
                <w:rFonts w:ascii="宋体"/>
                <w:b/>
                <w:sz w:val="20"/>
              </w:rPr>
            </w:pPr>
          </w:p>
          <w:p>
            <w:pPr>
              <w:pStyle w:val="11"/>
              <w:spacing w:before="1"/>
              <w:ind w:right="147"/>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8"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67"/>
              <w:ind w:left="108"/>
              <w:rPr>
                <w:sz w:val="21"/>
              </w:rPr>
            </w:pPr>
            <w:r>
              <w:rPr>
                <w:sz w:val="21"/>
              </w:rPr>
              <w:t>说明：指当地居民饮用水的水质达标情况，包括出厂水和末梢水水质达标状况。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spacing w:before="9"/>
              <w:rPr>
                <w:rFonts w:ascii="宋体"/>
                <w:b/>
                <w:sz w:val="19"/>
              </w:rPr>
            </w:pPr>
          </w:p>
          <w:p>
            <w:pPr>
              <w:pStyle w:val="11"/>
              <w:ind w:left="225"/>
              <w:rPr>
                <w:rFonts w:ascii="Times New Roman"/>
                <w:sz w:val="24"/>
              </w:rPr>
            </w:pPr>
            <w:r>
              <w:rPr>
                <w:rFonts w:ascii="Times New Roman"/>
                <w:sz w:val="24"/>
              </w:rPr>
              <w:t>44</w:t>
            </w:r>
          </w:p>
        </w:tc>
        <w:tc>
          <w:tcPr>
            <w:tcW w:w="3458" w:type="dxa"/>
          </w:tcPr>
          <w:p>
            <w:pPr>
              <w:pStyle w:val="11"/>
              <w:spacing w:before="217"/>
              <w:ind w:left="108" w:right="-29"/>
              <w:rPr>
                <w:rFonts w:hint="eastAsia" w:ascii="仿宋" w:eastAsia="仿宋"/>
                <w:b/>
                <w:sz w:val="24"/>
              </w:rPr>
            </w:pPr>
            <w:r>
              <w:rPr>
                <w:rFonts w:hint="eastAsia" w:ascii="仿宋" w:eastAsia="仿宋"/>
                <w:b/>
                <w:spacing w:val="-1"/>
                <w:sz w:val="24"/>
              </w:rPr>
              <w:t>居民环境与健康素养水平</w:t>
            </w:r>
            <w:r>
              <w:rPr>
                <w:rFonts w:hint="eastAsia" w:ascii="仿宋" w:eastAsia="仿宋"/>
                <w:b/>
                <w:spacing w:val="-5"/>
                <w:sz w:val="24"/>
              </w:rPr>
              <w:t>（</w:t>
            </w:r>
            <w:r>
              <w:rPr>
                <w:rFonts w:ascii="Times New Roman" w:eastAsia="Times New Roman"/>
                <w:b/>
                <w:spacing w:val="-5"/>
                <w:sz w:val="24"/>
              </w:rPr>
              <w:t>%</w:t>
            </w:r>
            <w:r>
              <w:rPr>
                <w:rFonts w:hint="eastAsia" w:ascii="仿宋" w:eastAsia="仿宋"/>
                <w:b/>
                <w:spacing w:val="-5"/>
                <w:sz w:val="24"/>
              </w:rPr>
              <w:t>）</w:t>
            </w:r>
          </w:p>
        </w:tc>
        <w:tc>
          <w:tcPr>
            <w:tcW w:w="1282" w:type="dxa"/>
          </w:tcPr>
          <w:p>
            <w:pPr>
              <w:pStyle w:val="11"/>
              <w:spacing w:before="78"/>
              <w:ind w:left="89" w:right="116"/>
              <w:jc w:val="center"/>
              <w:rPr>
                <w:sz w:val="24"/>
              </w:rPr>
            </w:pPr>
            <w:r>
              <w:rPr>
                <w:rFonts w:ascii="Times New Roman" w:eastAsia="Times New Roman"/>
                <w:sz w:val="24"/>
              </w:rPr>
              <w:t xml:space="preserve">2018 </w:t>
            </w:r>
            <w:r>
              <w:rPr>
                <w:sz w:val="24"/>
              </w:rPr>
              <w:t>年为</w:t>
            </w:r>
          </w:p>
          <w:p>
            <w:pPr>
              <w:pStyle w:val="11"/>
              <w:spacing w:before="1"/>
              <w:ind w:left="89" w:right="76"/>
              <w:jc w:val="center"/>
              <w:rPr>
                <w:rFonts w:ascii="Times New Roman"/>
                <w:sz w:val="24"/>
              </w:rPr>
            </w:pPr>
            <w:r>
              <w:rPr>
                <w:rFonts w:ascii="Times New Roman"/>
                <w:sz w:val="24"/>
              </w:rPr>
              <w:t>12.5</w:t>
            </w:r>
          </w:p>
        </w:tc>
        <w:tc>
          <w:tcPr>
            <w:tcW w:w="851" w:type="dxa"/>
          </w:tcPr>
          <w:p>
            <w:pPr>
              <w:pStyle w:val="11"/>
              <w:spacing w:before="190"/>
              <w:ind w:left="240"/>
              <w:rPr>
                <w:rFonts w:ascii="Times New Roman" w:hAnsi="Times New Roman"/>
                <w:sz w:val="24"/>
              </w:rPr>
            </w:pPr>
            <w:r>
              <w:rPr>
                <w:rFonts w:ascii="Times New Roman" w:hAnsi="Times New Roman"/>
                <w:sz w:val="24"/>
              </w:rPr>
              <w:t>≥15</w:t>
            </w:r>
          </w:p>
        </w:tc>
        <w:tc>
          <w:tcPr>
            <w:tcW w:w="851" w:type="dxa"/>
          </w:tcPr>
          <w:p>
            <w:pPr>
              <w:pStyle w:val="11"/>
              <w:spacing w:before="190"/>
              <w:ind w:left="238"/>
              <w:rPr>
                <w:rFonts w:ascii="Times New Roman" w:hAnsi="Times New Roman"/>
                <w:sz w:val="24"/>
              </w:rPr>
            </w:pPr>
            <w:r>
              <w:rPr>
                <w:rFonts w:ascii="Times New Roman" w:hAnsi="Times New Roman"/>
                <w:sz w:val="24"/>
              </w:rPr>
              <w:t>≥25</w:t>
            </w:r>
          </w:p>
        </w:tc>
        <w:tc>
          <w:tcPr>
            <w:tcW w:w="1050" w:type="dxa"/>
          </w:tcPr>
          <w:p>
            <w:pPr>
              <w:pStyle w:val="11"/>
              <w:spacing w:before="12"/>
              <w:rPr>
                <w:rFonts w:ascii="宋体"/>
                <w:b/>
                <w:sz w:val="16"/>
              </w:rPr>
            </w:pPr>
          </w:p>
          <w:p>
            <w:pPr>
              <w:pStyle w:val="11"/>
              <w:ind w:right="147"/>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62"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line="242" w:lineRule="auto"/>
              <w:ind w:left="108" w:right="92"/>
              <w:jc w:val="both"/>
              <w:rPr>
                <w:sz w:val="21"/>
              </w:rPr>
            </w:pPr>
            <w:r>
              <w:rPr>
                <w:spacing w:val="-8"/>
                <w:w w:val="95"/>
                <w:sz w:val="21"/>
              </w:rPr>
              <w:t xml:space="preserve">说明：环境与健康素养是指个人获取并理解环境与健康基本知识，同时运用这些  </w:t>
            </w:r>
            <w:r>
              <w:rPr>
                <w:spacing w:val="-12"/>
                <w:w w:val="95"/>
                <w:sz w:val="21"/>
              </w:rPr>
              <w:t xml:space="preserve">知识对常见的环境与健康问题做出正确判断，树立科学观念并具备采取行动保护  </w:t>
            </w:r>
            <w:r>
              <w:rPr>
                <w:spacing w:val="-12"/>
                <w:sz w:val="21"/>
              </w:rPr>
              <w:t>环境、维护自身健康的能力。</w:t>
            </w:r>
          </w:p>
          <w:p>
            <w:pPr>
              <w:pStyle w:val="11"/>
              <w:spacing w:before="1"/>
              <w:ind w:left="108"/>
              <w:rPr>
                <w:sz w:val="21"/>
              </w:rPr>
            </w:pPr>
            <w:r>
              <w:rPr>
                <w:sz w:val="21"/>
              </w:rPr>
              <w:t>环境与健康素养水平是指具备环境与健康素养的人数占监测人群总数的百分比。</w:t>
            </w:r>
          </w:p>
          <w:p>
            <w:pPr>
              <w:pStyle w:val="11"/>
              <w:spacing w:before="4" w:line="252" w:lineRule="exact"/>
              <w:ind w:left="108"/>
              <w:rPr>
                <w:sz w:val="21"/>
              </w:rPr>
            </w:pPr>
            <w:r>
              <w:rPr>
                <w:sz w:val="21"/>
              </w:rPr>
              <w:t>计算方法：具备该素养的人数</w:t>
            </w:r>
            <w:r>
              <w:rPr>
                <w:rFonts w:ascii="Times New Roman" w:hAnsi="Times New Roman" w:eastAsia="Times New Roman"/>
                <w:sz w:val="21"/>
              </w:rPr>
              <w:t>/</w:t>
            </w:r>
            <w:r>
              <w:rPr>
                <w:sz w:val="21"/>
              </w:rPr>
              <w:t>监测人群总人数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5" w:hRule="atLeast"/>
        </w:trPr>
        <w:tc>
          <w:tcPr>
            <w:tcW w:w="695" w:type="dxa"/>
            <w:vMerge w:val="continue"/>
            <w:tcBorders>
              <w:top w:val="nil"/>
            </w:tcBorders>
          </w:tcPr>
          <w:p>
            <w:pPr>
              <w:rPr>
                <w:sz w:val="2"/>
                <w:szCs w:val="2"/>
              </w:rPr>
            </w:pPr>
          </w:p>
        </w:tc>
        <w:tc>
          <w:tcPr>
            <w:tcW w:w="693" w:type="dxa"/>
          </w:tcPr>
          <w:p>
            <w:pPr>
              <w:pStyle w:val="11"/>
              <w:spacing w:before="8"/>
              <w:rPr>
                <w:rFonts w:ascii="宋体"/>
                <w:b/>
                <w:sz w:val="21"/>
              </w:rPr>
            </w:pPr>
          </w:p>
          <w:p>
            <w:pPr>
              <w:pStyle w:val="11"/>
              <w:spacing w:before="1"/>
              <w:ind w:left="225"/>
              <w:rPr>
                <w:rFonts w:ascii="Times New Roman"/>
                <w:sz w:val="24"/>
              </w:rPr>
            </w:pPr>
            <w:r>
              <w:rPr>
                <w:rFonts w:ascii="Times New Roman"/>
                <w:sz w:val="24"/>
              </w:rPr>
              <w:t>45</w:t>
            </w:r>
          </w:p>
        </w:tc>
        <w:tc>
          <w:tcPr>
            <w:tcW w:w="6442" w:type="dxa"/>
            <w:gridSpan w:val="4"/>
          </w:tcPr>
          <w:p>
            <w:pPr>
              <w:pStyle w:val="11"/>
              <w:spacing w:before="106" w:line="242" w:lineRule="auto"/>
              <w:ind w:left="108" w:right="27"/>
              <w:rPr>
                <w:rFonts w:hint="eastAsia" w:ascii="仿宋" w:eastAsia="仿宋"/>
                <w:b/>
                <w:sz w:val="24"/>
              </w:rPr>
            </w:pPr>
            <w:r>
              <w:rPr>
                <w:rFonts w:hint="eastAsia" w:ascii="仿宋" w:eastAsia="仿宋"/>
                <w:b/>
                <w:sz w:val="24"/>
              </w:rPr>
              <w:t>积极实施垃圾分类并及时清理，将固体废弃物主动投放到相应的回收地点及设施中</w:t>
            </w:r>
          </w:p>
        </w:tc>
        <w:tc>
          <w:tcPr>
            <w:tcW w:w="1050" w:type="dxa"/>
          </w:tcPr>
          <w:p>
            <w:pPr>
              <w:pStyle w:val="11"/>
              <w:spacing w:before="5"/>
              <w:rPr>
                <w:rFonts w:ascii="宋体"/>
                <w:b/>
                <w:sz w:val="20"/>
              </w:rPr>
            </w:pPr>
          </w:p>
          <w:p>
            <w:pPr>
              <w:pStyle w:val="11"/>
              <w:spacing w:before="1"/>
              <w:ind w:right="147"/>
              <w:jc w:val="right"/>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5" w:hRule="atLeast"/>
        </w:trPr>
        <w:tc>
          <w:tcPr>
            <w:tcW w:w="695" w:type="dxa"/>
            <w:vMerge w:val="continue"/>
            <w:tcBorders>
              <w:top w:val="nil"/>
            </w:tcBorders>
          </w:tcPr>
          <w:p>
            <w:pPr>
              <w:rPr>
                <w:sz w:val="2"/>
                <w:szCs w:val="2"/>
              </w:rPr>
            </w:pPr>
          </w:p>
        </w:tc>
        <w:tc>
          <w:tcPr>
            <w:tcW w:w="693" w:type="dxa"/>
          </w:tcPr>
          <w:p>
            <w:pPr>
              <w:pStyle w:val="11"/>
              <w:spacing w:before="8"/>
              <w:rPr>
                <w:rFonts w:ascii="宋体"/>
                <w:b/>
                <w:sz w:val="21"/>
              </w:rPr>
            </w:pPr>
          </w:p>
          <w:p>
            <w:pPr>
              <w:pStyle w:val="11"/>
              <w:ind w:left="225"/>
              <w:rPr>
                <w:rFonts w:ascii="Times New Roman"/>
                <w:sz w:val="24"/>
              </w:rPr>
            </w:pPr>
            <w:r>
              <w:rPr>
                <w:rFonts w:ascii="Times New Roman"/>
                <w:sz w:val="24"/>
              </w:rPr>
              <w:t>46</w:t>
            </w:r>
          </w:p>
        </w:tc>
        <w:tc>
          <w:tcPr>
            <w:tcW w:w="6442" w:type="dxa"/>
            <w:gridSpan w:val="4"/>
          </w:tcPr>
          <w:p>
            <w:pPr>
              <w:pStyle w:val="11"/>
              <w:spacing w:before="108" w:line="242" w:lineRule="auto"/>
              <w:ind w:left="108" w:right="191"/>
              <w:rPr>
                <w:rFonts w:hint="eastAsia" w:ascii="仿宋" w:eastAsia="仿宋"/>
                <w:b/>
                <w:sz w:val="24"/>
              </w:rPr>
            </w:pPr>
            <w:r>
              <w:rPr>
                <w:rFonts w:hint="eastAsia" w:ascii="仿宋" w:eastAsia="仿宋"/>
                <w:b/>
                <w:spacing w:val="-13"/>
                <w:sz w:val="24"/>
              </w:rPr>
              <w:t>防治室内空气污染，提倡简约绿色装饰，做好室内油烟排风提高家居环境水平</w:t>
            </w:r>
          </w:p>
        </w:tc>
        <w:tc>
          <w:tcPr>
            <w:tcW w:w="1050" w:type="dxa"/>
          </w:tcPr>
          <w:p>
            <w:pPr>
              <w:pStyle w:val="11"/>
              <w:spacing w:before="111"/>
              <w:ind w:left="-206" w:right="147"/>
              <w:jc w:val="right"/>
              <w:rPr>
                <w:rFonts w:hint="eastAsia" w:ascii="仿宋" w:eastAsia="仿宋"/>
                <w:sz w:val="24"/>
              </w:rPr>
            </w:pPr>
            <w:r>
              <w:rPr>
                <w:rFonts w:hint="eastAsia" w:ascii="仿宋" w:eastAsia="仿宋"/>
                <w:b/>
                <w:spacing w:val="5"/>
                <w:position w:val="15"/>
                <w:sz w:val="24"/>
              </w:rPr>
              <w:t xml:space="preserve">， </w:t>
            </w:r>
            <w:r>
              <w:rPr>
                <w:rFonts w:hint="eastAsia" w:ascii="仿宋" w:eastAsia="仿宋"/>
                <w:spacing w:val="-6"/>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5" w:hRule="atLeast"/>
        </w:trPr>
        <w:tc>
          <w:tcPr>
            <w:tcW w:w="695" w:type="dxa"/>
            <w:vMerge w:val="continue"/>
            <w:tcBorders>
              <w:top w:val="nil"/>
            </w:tcBorders>
          </w:tcPr>
          <w:p>
            <w:pPr>
              <w:rPr>
                <w:sz w:val="2"/>
                <w:szCs w:val="2"/>
              </w:rPr>
            </w:pPr>
          </w:p>
        </w:tc>
        <w:tc>
          <w:tcPr>
            <w:tcW w:w="693" w:type="dxa"/>
          </w:tcPr>
          <w:p>
            <w:pPr>
              <w:pStyle w:val="11"/>
              <w:spacing w:before="8"/>
              <w:rPr>
                <w:rFonts w:ascii="宋体"/>
                <w:b/>
                <w:sz w:val="21"/>
              </w:rPr>
            </w:pPr>
          </w:p>
          <w:p>
            <w:pPr>
              <w:pStyle w:val="11"/>
              <w:ind w:left="225"/>
              <w:rPr>
                <w:rFonts w:ascii="Times New Roman"/>
                <w:sz w:val="24"/>
              </w:rPr>
            </w:pPr>
            <w:r>
              <w:rPr>
                <w:rFonts w:ascii="Times New Roman"/>
                <w:sz w:val="24"/>
              </w:rPr>
              <w:t>47</w:t>
            </w:r>
          </w:p>
        </w:tc>
        <w:tc>
          <w:tcPr>
            <w:tcW w:w="6442" w:type="dxa"/>
            <w:gridSpan w:val="4"/>
          </w:tcPr>
          <w:p>
            <w:pPr>
              <w:pStyle w:val="11"/>
              <w:spacing w:before="107" w:line="242" w:lineRule="auto"/>
              <w:ind w:left="108" w:right="27"/>
              <w:rPr>
                <w:rFonts w:hint="eastAsia" w:ascii="仿宋" w:eastAsia="仿宋"/>
                <w:b/>
                <w:sz w:val="24"/>
              </w:rPr>
            </w:pPr>
            <w:r>
              <w:rPr>
                <w:rFonts w:hint="eastAsia" w:ascii="仿宋" w:eastAsia="仿宋"/>
                <w:b/>
                <w:sz w:val="24"/>
              </w:rPr>
              <w:t>学校、医院、车站、大型商场、电影院等人员密集的地方应定期开展火灾、地震等自然灾害及突发事件的应急演练</w:t>
            </w:r>
          </w:p>
        </w:tc>
        <w:tc>
          <w:tcPr>
            <w:tcW w:w="1050" w:type="dxa"/>
          </w:tcPr>
          <w:p>
            <w:pPr>
              <w:pStyle w:val="11"/>
              <w:spacing w:before="5"/>
              <w:rPr>
                <w:rFonts w:ascii="宋体"/>
                <w:b/>
                <w:sz w:val="20"/>
              </w:rPr>
            </w:pPr>
          </w:p>
          <w:p>
            <w:pPr>
              <w:pStyle w:val="11"/>
              <w:ind w:right="147"/>
              <w:jc w:val="right"/>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9" w:hRule="atLeast"/>
        </w:trPr>
        <w:tc>
          <w:tcPr>
            <w:tcW w:w="695" w:type="dxa"/>
            <w:vMerge w:val="continue"/>
            <w:tcBorders>
              <w:top w:val="nil"/>
            </w:tcBorders>
          </w:tcPr>
          <w:p>
            <w:pPr>
              <w:rPr>
                <w:sz w:val="2"/>
                <w:szCs w:val="2"/>
              </w:rPr>
            </w:pPr>
          </w:p>
        </w:tc>
        <w:tc>
          <w:tcPr>
            <w:tcW w:w="693" w:type="dxa"/>
          </w:tcPr>
          <w:p>
            <w:pPr>
              <w:pStyle w:val="11"/>
              <w:spacing w:before="10"/>
              <w:rPr>
                <w:rFonts w:ascii="宋体"/>
                <w:b/>
                <w:sz w:val="23"/>
              </w:rPr>
            </w:pPr>
          </w:p>
          <w:p>
            <w:pPr>
              <w:pStyle w:val="11"/>
              <w:spacing w:before="1"/>
              <w:ind w:left="225"/>
              <w:rPr>
                <w:rFonts w:ascii="Times New Roman"/>
                <w:sz w:val="24"/>
              </w:rPr>
            </w:pPr>
            <w:r>
              <w:rPr>
                <w:rFonts w:ascii="Times New Roman"/>
                <w:sz w:val="24"/>
              </w:rPr>
              <w:t>48</w:t>
            </w:r>
          </w:p>
        </w:tc>
        <w:tc>
          <w:tcPr>
            <w:tcW w:w="6442" w:type="dxa"/>
            <w:gridSpan w:val="4"/>
          </w:tcPr>
          <w:p>
            <w:pPr>
              <w:pStyle w:val="11"/>
              <w:spacing w:before="133" w:line="242" w:lineRule="auto"/>
              <w:ind w:left="108" w:right="31"/>
              <w:rPr>
                <w:rFonts w:hint="eastAsia" w:ascii="仿宋" w:eastAsia="仿宋"/>
                <w:b/>
                <w:sz w:val="24"/>
              </w:rPr>
            </w:pPr>
            <w:r>
              <w:rPr>
                <w:rFonts w:hint="eastAsia" w:ascii="仿宋" w:eastAsia="仿宋"/>
                <w:b/>
                <w:sz w:val="24"/>
              </w:rPr>
              <w:t>提高自身健康防护意识和能力，学会识别常见的危险标识、化学品安全标签及环境保护图形标志</w:t>
            </w:r>
          </w:p>
        </w:tc>
        <w:tc>
          <w:tcPr>
            <w:tcW w:w="1050" w:type="dxa"/>
          </w:tcPr>
          <w:p>
            <w:pPr>
              <w:pStyle w:val="11"/>
              <w:spacing w:before="7"/>
              <w:rPr>
                <w:rFonts w:ascii="宋体"/>
                <w:b/>
                <w:sz w:val="22"/>
              </w:rPr>
            </w:pPr>
          </w:p>
          <w:p>
            <w:pPr>
              <w:pStyle w:val="11"/>
              <w:spacing w:before="1"/>
              <w:ind w:right="147"/>
              <w:jc w:val="right"/>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0" w:hRule="atLeast"/>
        </w:trPr>
        <w:tc>
          <w:tcPr>
            <w:tcW w:w="695" w:type="dxa"/>
            <w:vMerge w:val="restart"/>
          </w:tcPr>
          <w:p>
            <w:pPr>
              <w:pStyle w:val="11"/>
              <w:rPr>
                <w:rFonts w:ascii="Times New Roman"/>
                <w:sz w:val="22"/>
              </w:rPr>
            </w:pPr>
          </w:p>
        </w:tc>
        <w:tc>
          <w:tcPr>
            <w:tcW w:w="8185" w:type="dxa"/>
            <w:gridSpan w:val="6"/>
          </w:tcPr>
          <w:p>
            <w:pPr>
              <w:pStyle w:val="11"/>
              <w:spacing w:before="24"/>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693" w:type="dxa"/>
          </w:tcPr>
          <w:p>
            <w:pPr>
              <w:pStyle w:val="11"/>
              <w:spacing w:before="58"/>
              <w:ind w:left="225"/>
              <w:rPr>
                <w:rFonts w:ascii="Times New Roman"/>
                <w:sz w:val="24"/>
              </w:rPr>
            </w:pPr>
            <w:r>
              <w:rPr>
                <w:rFonts w:ascii="Times New Roman"/>
                <w:sz w:val="24"/>
              </w:rPr>
              <w:t>49</w:t>
            </w:r>
          </w:p>
        </w:tc>
        <w:tc>
          <w:tcPr>
            <w:tcW w:w="3458" w:type="dxa"/>
          </w:tcPr>
          <w:p>
            <w:pPr>
              <w:pStyle w:val="11"/>
              <w:spacing w:before="42"/>
              <w:ind w:left="108"/>
              <w:rPr>
                <w:rFonts w:hint="eastAsia" w:ascii="仿宋" w:hAnsi="仿宋" w:eastAsia="仿宋"/>
                <w:b/>
                <w:sz w:val="24"/>
              </w:rPr>
            </w:pPr>
            <w:r>
              <w:rPr>
                <w:rFonts w:hint="eastAsia" w:ascii="仿宋" w:hAnsi="仿宋" w:eastAsia="仿宋"/>
                <w:b/>
                <w:sz w:val="24"/>
              </w:rPr>
              <w:t>婴儿死亡率（</w:t>
            </w:r>
            <w:r>
              <w:rPr>
                <w:rFonts w:ascii="Times New Roman" w:hAnsi="Times New Roman" w:eastAsia="Times New Roman"/>
                <w:b/>
                <w:sz w:val="24"/>
              </w:rPr>
              <w:t>‰</w:t>
            </w:r>
            <w:r>
              <w:rPr>
                <w:rFonts w:hint="eastAsia" w:ascii="仿宋" w:hAnsi="仿宋" w:eastAsia="仿宋"/>
                <w:b/>
                <w:sz w:val="24"/>
              </w:rPr>
              <w:t>）</w:t>
            </w:r>
          </w:p>
        </w:tc>
        <w:tc>
          <w:tcPr>
            <w:tcW w:w="1282" w:type="dxa"/>
          </w:tcPr>
          <w:p>
            <w:pPr>
              <w:pStyle w:val="11"/>
              <w:spacing w:before="58"/>
              <w:ind w:left="89" w:right="76"/>
              <w:jc w:val="center"/>
              <w:rPr>
                <w:rFonts w:ascii="Times New Roman"/>
                <w:sz w:val="24"/>
              </w:rPr>
            </w:pPr>
            <w:r>
              <w:rPr>
                <w:rFonts w:ascii="Times New Roman"/>
                <w:sz w:val="24"/>
              </w:rPr>
              <w:t>6.8</w:t>
            </w:r>
          </w:p>
        </w:tc>
        <w:tc>
          <w:tcPr>
            <w:tcW w:w="851" w:type="dxa"/>
          </w:tcPr>
          <w:p>
            <w:pPr>
              <w:pStyle w:val="11"/>
              <w:spacing w:before="58"/>
              <w:ind w:left="209"/>
              <w:rPr>
                <w:rFonts w:ascii="Times New Roman" w:hAnsi="Times New Roman"/>
                <w:sz w:val="24"/>
              </w:rPr>
            </w:pPr>
            <w:r>
              <w:rPr>
                <w:rFonts w:ascii="Times New Roman" w:hAnsi="Times New Roman"/>
                <w:sz w:val="24"/>
              </w:rPr>
              <w:t>≤7.5</w:t>
            </w:r>
          </w:p>
        </w:tc>
        <w:tc>
          <w:tcPr>
            <w:tcW w:w="851" w:type="dxa"/>
          </w:tcPr>
          <w:p>
            <w:pPr>
              <w:pStyle w:val="11"/>
              <w:spacing w:before="58"/>
              <w:ind w:left="298"/>
              <w:rPr>
                <w:rFonts w:ascii="Times New Roman" w:hAnsi="Times New Roman"/>
                <w:sz w:val="24"/>
              </w:rPr>
            </w:pPr>
            <w:r>
              <w:rPr>
                <w:rFonts w:ascii="Times New Roman" w:hAnsi="Times New Roman"/>
                <w:sz w:val="24"/>
              </w:rPr>
              <w:t>≤5</w:t>
            </w:r>
          </w:p>
        </w:tc>
        <w:tc>
          <w:tcPr>
            <w:tcW w:w="1050" w:type="dxa"/>
          </w:tcPr>
          <w:p>
            <w:pPr>
              <w:pStyle w:val="11"/>
              <w:spacing w:before="42"/>
              <w:ind w:right="205"/>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trPr>
        <w:tc>
          <w:tcPr>
            <w:tcW w:w="695" w:type="dxa"/>
            <w:vMerge w:val="continue"/>
            <w:tcBorders>
              <w:top w:val="nil"/>
            </w:tcBorders>
          </w:tcPr>
          <w:p>
            <w:pPr>
              <w:rPr>
                <w:sz w:val="2"/>
                <w:szCs w:val="2"/>
              </w:rPr>
            </w:pPr>
          </w:p>
        </w:tc>
        <w:tc>
          <w:tcPr>
            <w:tcW w:w="693" w:type="dxa"/>
          </w:tcPr>
          <w:p>
            <w:pPr>
              <w:pStyle w:val="11"/>
              <w:spacing w:before="59"/>
              <w:ind w:left="225"/>
              <w:rPr>
                <w:rFonts w:ascii="Times New Roman"/>
                <w:sz w:val="24"/>
              </w:rPr>
            </w:pPr>
            <w:r>
              <w:rPr>
                <w:rFonts w:ascii="Times New Roman"/>
                <w:sz w:val="24"/>
              </w:rPr>
              <w:t>50</w:t>
            </w:r>
          </w:p>
        </w:tc>
        <w:tc>
          <w:tcPr>
            <w:tcW w:w="3458" w:type="dxa"/>
          </w:tcPr>
          <w:p>
            <w:pPr>
              <w:pStyle w:val="11"/>
              <w:spacing w:before="43"/>
              <w:ind w:left="108"/>
              <w:rPr>
                <w:rFonts w:hint="eastAsia" w:ascii="仿宋" w:hAnsi="仿宋" w:eastAsia="仿宋"/>
                <w:b/>
                <w:sz w:val="24"/>
              </w:rPr>
            </w:pPr>
            <w:r>
              <w:rPr>
                <w:rFonts w:ascii="Times New Roman" w:hAnsi="Times New Roman" w:eastAsia="Times New Roman"/>
                <w:b/>
                <w:sz w:val="24"/>
              </w:rPr>
              <w:t xml:space="preserve">5 </w:t>
            </w:r>
            <w:r>
              <w:rPr>
                <w:rFonts w:hint="eastAsia" w:ascii="仿宋" w:hAnsi="仿宋" w:eastAsia="仿宋"/>
                <w:b/>
                <w:sz w:val="24"/>
              </w:rPr>
              <w:t>岁以下儿童死亡率（</w:t>
            </w:r>
            <w:r>
              <w:rPr>
                <w:rFonts w:ascii="Times New Roman" w:hAnsi="Times New Roman" w:eastAsia="Times New Roman"/>
                <w:b/>
                <w:sz w:val="24"/>
              </w:rPr>
              <w:t>‰</w:t>
            </w:r>
            <w:r>
              <w:rPr>
                <w:rFonts w:hint="eastAsia" w:ascii="仿宋" w:hAnsi="仿宋" w:eastAsia="仿宋"/>
                <w:b/>
                <w:sz w:val="24"/>
              </w:rPr>
              <w:t>）</w:t>
            </w:r>
          </w:p>
        </w:tc>
        <w:tc>
          <w:tcPr>
            <w:tcW w:w="1282" w:type="dxa"/>
          </w:tcPr>
          <w:p>
            <w:pPr>
              <w:pStyle w:val="11"/>
              <w:spacing w:before="59"/>
              <w:ind w:left="89" w:right="76"/>
              <w:jc w:val="center"/>
              <w:rPr>
                <w:rFonts w:ascii="Times New Roman"/>
                <w:sz w:val="24"/>
              </w:rPr>
            </w:pPr>
            <w:r>
              <w:rPr>
                <w:rFonts w:ascii="Times New Roman"/>
                <w:sz w:val="24"/>
              </w:rPr>
              <w:t>9.1</w:t>
            </w:r>
          </w:p>
        </w:tc>
        <w:tc>
          <w:tcPr>
            <w:tcW w:w="851" w:type="dxa"/>
          </w:tcPr>
          <w:p>
            <w:pPr>
              <w:pStyle w:val="11"/>
              <w:spacing w:before="59"/>
              <w:ind w:left="209"/>
              <w:rPr>
                <w:rFonts w:ascii="Times New Roman" w:hAnsi="Times New Roman"/>
                <w:sz w:val="24"/>
              </w:rPr>
            </w:pPr>
            <w:r>
              <w:rPr>
                <w:rFonts w:ascii="Times New Roman" w:hAnsi="Times New Roman"/>
                <w:sz w:val="24"/>
              </w:rPr>
              <w:t>≤9.5</w:t>
            </w:r>
          </w:p>
        </w:tc>
        <w:tc>
          <w:tcPr>
            <w:tcW w:w="851" w:type="dxa"/>
          </w:tcPr>
          <w:p>
            <w:pPr>
              <w:pStyle w:val="11"/>
              <w:spacing w:before="59"/>
              <w:ind w:left="298"/>
              <w:rPr>
                <w:rFonts w:ascii="Times New Roman" w:hAnsi="Times New Roman"/>
                <w:sz w:val="24"/>
              </w:rPr>
            </w:pPr>
            <w:r>
              <w:rPr>
                <w:rFonts w:ascii="Times New Roman" w:hAnsi="Times New Roman"/>
                <w:sz w:val="24"/>
              </w:rPr>
              <w:t>≤6</w:t>
            </w:r>
          </w:p>
        </w:tc>
        <w:tc>
          <w:tcPr>
            <w:tcW w:w="1050" w:type="dxa"/>
          </w:tcPr>
          <w:p>
            <w:pPr>
              <w:pStyle w:val="11"/>
              <w:spacing w:before="43"/>
              <w:ind w:right="147"/>
              <w:jc w:val="right"/>
              <w:rPr>
                <w:rFonts w:hint="eastAsia" w:ascii="仿宋" w:eastAsia="仿宋"/>
                <w:sz w:val="24"/>
              </w:rPr>
            </w:pPr>
            <w:r>
              <w:rPr>
                <w:rFonts w:hint="eastAsia" w:ascii="仿宋" w:eastAsia="仿宋"/>
                <w:sz w:val="24"/>
              </w:rPr>
              <w:t>预期性</w:t>
            </w:r>
          </w:p>
        </w:tc>
      </w:tr>
    </w:tbl>
    <w:p>
      <w:pPr>
        <w:spacing w:after="0"/>
        <w:jc w:val="right"/>
        <w:rPr>
          <w:rFonts w:hint="eastAsia" w:ascii="仿宋" w:eastAsia="仿宋"/>
          <w:sz w:val="24"/>
        </w:rPr>
        <w:sectPr>
          <w:pgSz w:w="11910" w:h="16840"/>
          <w:pgMar w:top="1420" w:right="1140" w:bottom="1300" w:left="1400" w:header="0" w:footer="1120" w:gutter="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1"/>
              <w:rPr>
                <w:rFonts w:ascii="宋体"/>
                <w:b/>
                <w:sz w:val="29"/>
              </w:rPr>
            </w:pPr>
          </w:p>
          <w:p>
            <w:pPr>
              <w:pStyle w:val="11"/>
              <w:spacing w:line="242" w:lineRule="auto"/>
              <w:ind w:left="226" w:right="10" w:hanging="120"/>
              <w:rPr>
                <w:rFonts w:hint="eastAsia" w:ascii="黑体" w:eastAsia="黑体"/>
                <w:sz w:val="24"/>
              </w:rPr>
            </w:pPr>
            <w:r>
              <w:rPr>
                <w:rFonts w:hint="eastAsia" w:ascii="黑体" w:eastAsia="黑体"/>
                <w:w w:val="85"/>
                <w:sz w:val="21"/>
              </w:rPr>
              <w:t xml:space="preserve">（七） </w:t>
            </w:r>
            <w:r>
              <w:rPr>
                <w:rFonts w:hint="eastAsia" w:ascii="黑体" w:eastAsia="黑体"/>
                <w:sz w:val="24"/>
              </w:rPr>
              <w:t>妇幼健康促进行动</w:t>
            </w:r>
          </w:p>
        </w:tc>
        <w:tc>
          <w:tcPr>
            <w:tcW w:w="693" w:type="dxa"/>
            <w:vMerge w:val="restart"/>
          </w:tcPr>
          <w:p>
            <w:pPr>
              <w:pStyle w:val="11"/>
              <w:rPr>
                <w:rFonts w:ascii="宋体"/>
                <w:b/>
                <w:sz w:val="26"/>
              </w:rPr>
            </w:pPr>
          </w:p>
          <w:p>
            <w:pPr>
              <w:pStyle w:val="11"/>
              <w:spacing w:before="11"/>
              <w:rPr>
                <w:rFonts w:ascii="宋体"/>
                <w:b/>
                <w:sz w:val="21"/>
              </w:rPr>
            </w:pPr>
          </w:p>
          <w:p>
            <w:pPr>
              <w:pStyle w:val="11"/>
              <w:ind w:left="225"/>
              <w:rPr>
                <w:rFonts w:ascii="Times New Roman"/>
                <w:sz w:val="24"/>
              </w:rPr>
            </w:pPr>
            <w:r>
              <w:rPr>
                <w:rFonts w:ascii="Times New Roman"/>
                <w:sz w:val="24"/>
              </w:rPr>
              <w:t>51</w:t>
            </w:r>
          </w:p>
        </w:tc>
        <w:tc>
          <w:tcPr>
            <w:tcW w:w="3458" w:type="dxa"/>
          </w:tcPr>
          <w:p>
            <w:pPr>
              <w:pStyle w:val="11"/>
              <w:spacing w:before="45"/>
              <w:ind w:left="108"/>
              <w:rPr>
                <w:rFonts w:hint="eastAsia" w:ascii="仿宋" w:eastAsia="仿宋"/>
                <w:b/>
                <w:sz w:val="24"/>
              </w:rPr>
            </w:pPr>
            <w:r>
              <w:rPr>
                <w:rFonts w:hint="eastAsia" w:ascii="仿宋" w:eastAsia="仿宋"/>
                <w:b/>
                <w:sz w:val="24"/>
              </w:rPr>
              <w:t>孕产妇死亡率（</w:t>
            </w:r>
            <w:r>
              <w:rPr>
                <w:rFonts w:ascii="Times New Roman" w:eastAsia="Times New Roman"/>
                <w:b/>
                <w:sz w:val="24"/>
              </w:rPr>
              <w:t xml:space="preserve">1/10 </w:t>
            </w:r>
            <w:r>
              <w:rPr>
                <w:rFonts w:hint="eastAsia" w:ascii="仿宋" w:eastAsia="仿宋"/>
                <w:b/>
                <w:sz w:val="24"/>
              </w:rPr>
              <w:t>万）</w:t>
            </w:r>
          </w:p>
        </w:tc>
        <w:tc>
          <w:tcPr>
            <w:tcW w:w="1282" w:type="dxa"/>
          </w:tcPr>
          <w:p>
            <w:pPr>
              <w:pStyle w:val="11"/>
              <w:spacing w:before="61"/>
              <w:ind w:left="89" w:right="76"/>
              <w:jc w:val="center"/>
              <w:rPr>
                <w:rFonts w:ascii="Times New Roman"/>
                <w:sz w:val="24"/>
              </w:rPr>
            </w:pPr>
            <w:r>
              <w:rPr>
                <w:rFonts w:ascii="Times New Roman"/>
                <w:sz w:val="24"/>
              </w:rPr>
              <w:t>19.6</w:t>
            </w:r>
          </w:p>
        </w:tc>
        <w:tc>
          <w:tcPr>
            <w:tcW w:w="851" w:type="dxa"/>
          </w:tcPr>
          <w:p>
            <w:pPr>
              <w:pStyle w:val="11"/>
              <w:spacing w:before="61"/>
              <w:ind w:left="66" w:right="52"/>
              <w:jc w:val="center"/>
              <w:rPr>
                <w:rFonts w:ascii="Times New Roman" w:hAnsi="Times New Roman"/>
                <w:sz w:val="24"/>
              </w:rPr>
            </w:pPr>
            <w:r>
              <w:rPr>
                <w:rFonts w:ascii="Times New Roman" w:hAnsi="Times New Roman"/>
                <w:sz w:val="24"/>
              </w:rPr>
              <w:t>≤18</w:t>
            </w:r>
          </w:p>
        </w:tc>
        <w:tc>
          <w:tcPr>
            <w:tcW w:w="851" w:type="dxa"/>
          </w:tcPr>
          <w:p>
            <w:pPr>
              <w:pStyle w:val="11"/>
              <w:spacing w:before="61"/>
              <w:ind w:left="66" w:right="53"/>
              <w:jc w:val="center"/>
              <w:rPr>
                <w:rFonts w:ascii="Times New Roman" w:hAnsi="Times New Roman"/>
                <w:sz w:val="24"/>
              </w:rPr>
            </w:pPr>
            <w:r>
              <w:rPr>
                <w:rFonts w:ascii="Times New Roman" w:hAnsi="Times New Roman"/>
                <w:sz w:val="24"/>
              </w:rPr>
              <w:t>≤12</w:t>
            </w:r>
          </w:p>
        </w:tc>
        <w:tc>
          <w:tcPr>
            <w:tcW w:w="1050" w:type="dxa"/>
          </w:tcPr>
          <w:p>
            <w:pPr>
              <w:pStyle w:val="11"/>
              <w:spacing w:before="45"/>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0"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42" w:lineRule="auto"/>
              <w:ind w:left="108" w:right="17"/>
              <w:rPr>
                <w:sz w:val="21"/>
              </w:rPr>
            </w:pPr>
            <w:r>
              <w:rPr>
                <w:w w:val="95"/>
                <w:sz w:val="21"/>
              </w:rPr>
              <w:t xml:space="preserve">说明：从国内外经验和发展规律看，我国妇幼健康主要指标下降到较低水平后，  </w:t>
            </w:r>
            <w:r>
              <w:rPr>
                <w:spacing w:val="-5"/>
                <w:sz w:val="21"/>
              </w:rPr>
              <w:t>下降速率趋缓并进入平台期。今后一段时期，我国孕产妇死亡率、婴儿死亡率和</w:t>
            </w:r>
            <w:r>
              <w:rPr>
                <w:rFonts w:ascii="Times New Roman" w:eastAsia="Times New Roman"/>
                <w:spacing w:val="-5"/>
                <w:sz w:val="21"/>
              </w:rPr>
              <w:t>5</w:t>
            </w:r>
            <w:r>
              <w:rPr>
                <w:rFonts w:ascii="Times New Roman" w:eastAsia="Times New Roman"/>
                <w:spacing w:val="-7"/>
                <w:sz w:val="21"/>
              </w:rPr>
              <w:t xml:space="preserve"> </w:t>
            </w:r>
            <w:r>
              <w:rPr>
                <w:spacing w:val="-1"/>
                <w:sz w:val="21"/>
              </w:rPr>
              <w:t>岁以下儿童死亡率等主要指标将呈现基本平稳态势，省以下范围内可能会出现</w:t>
            </w:r>
          </w:p>
          <w:p>
            <w:pPr>
              <w:pStyle w:val="11"/>
              <w:spacing w:before="1" w:line="252" w:lineRule="exact"/>
              <w:ind w:left="108"/>
              <w:rPr>
                <w:sz w:val="21"/>
              </w:rPr>
            </w:pPr>
            <w:r>
              <w:rPr>
                <w:sz w:val="21"/>
              </w:rPr>
              <w:t>小幅波动。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9" w:hRule="atLeast"/>
        </w:trPr>
        <w:tc>
          <w:tcPr>
            <w:tcW w:w="695" w:type="dxa"/>
            <w:vMerge w:val="continue"/>
            <w:tcBorders>
              <w:top w:val="nil"/>
            </w:tcBorders>
          </w:tcPr>
          <w:p>
            <w:pPr>
              <w:rPr>
                <w:sz w:val="2"/>
                <w:szCs w:val="2"/>
              </w:rPr>
            </w:pPr>
          </w:p>
        </w:tc>
        <w:tc>
          <w:tcPr>
            <w:tcW w:w="8185" w:type="dxa"/>
            <w:gridSpan w:val="6"/>
          </w:tcPr>
          <w:p>
            <w:pPr>
              <w:pStyle w:val="11"/>
              <w:spacing w:before="69"/>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3"/>
              <w:rPr>
                <w:rFonts w:ascii="宋体"/>
                <w:b/>
                <w:sz w:val="32"/>
              </w:rPr>
            </w:pPr>
          </w:p>
          <w:p>
            <w:pPr>
              <w:pStyle w:val="11"/>
              <w:ind w:left="225"/>
              <w:rPr>
                <w:rFonts w:ascii="Times New Roman"/>
                <w:sz w:val="24"/>
              </w:rPr>
            </w:pPr>
            <w:r>
              <w:rPr>
                <w:rFonts w:ascii="Times New Roman"/>
                <w:sz w:val="24"/>
              </w:rPr>
              <w:t>52</w:t>
            </w:r>
          </w:p>
        </w:tc>
        <w:tc>
          <w:tcPr>
            <w:tcW w:w="6442" w:type="dxa"/>
            <w:gridSpan w:val="4"/>
          </w:tcPr>
          <w:p>
            <w:pPr>
              <w:pStyle w:val="11"/>
              <w:spacing w:before="44"/>
              <w:ind w:left="108"/>
              <w:rPr>
                <w:rFonts w:hint="eastAsia" w:ascii="仿宋" w:eastAsia="仿宋"/>
                <w:b/>
                <w:sz w:val="24"/>
              </w:rPr>
            </w:pPr>
            <w:r>
              <w:rPr>
                <w:rFonts w:hint="eastAsia" w:ascii="仿宋" w:eastAsia="仿宋"/>
                <w:b/>
                <w:sz w:val="24"/>
              </w:rPr>
              <w:t>主动学习掌握出生缺陷防治和儿童早期发展知识</w:t>
            </w:r>
          </w:p>
        </w:tc>
        <w:tc>
          <w:tcPr>
            <w:tcW w:w="1050" w:type="dxa"/>
          </w:tcPr>
          <w:p>
            <w:pPr>
              <w:pStyle w:val="11"/>
              <w:spacing w:before="44"/>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62"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ind w:left="108"/>
              <w:jc w:val="both"/>
              <w:rPr>
                <w:rFonts w:ascii="Times New Roman" w:eastAsia="Times New Roman"/>
                <w:sz w:val="21"/>
              </w:rPr>
            </w:pPr>
            <w:r>
              <w:rPr>
                <w:spacing w:val="-13"/>
                <w:sz w:val="21"/>
              </w:rPr>
              <w:t xml:space="preserve">说明：出生缺陷严重危害儿童生存和生活质量，对家庭带来很大影响。根据 </w:t>
            </w:r>
            <w:r>
              <w:rPr>
                <w:rFonts w:ascii="Times New Roman" w:eastAsia="Times New Roman"/>
                <w:sz w:val="21"/>
              </w:rPr>
              <w:t>2016</w:t>
            </w:r>
          </w:p>
          <w:p>
            <w:pPr>
              <w:pStyle w:val="11"/>
              <w:spacing w:before="3" w:line="242" w:lineRule="auto"/>
              <w:ind w:left="108" w:right="92"/>
              <w:jc w:val="both"/>
              <w:rPr>
                <w:sz w:val="21"/>
              </w:rPr>
            </w:pPr>
            <w:r>
              <w:rPr>
                <w:spacing w:val="-6"/>
                <w:sz w:val="21"/>
              </w:rPr>
              <w:t xml:space="preserve">年调查，全球每 </w:t>
            </w:r>
            <w:r>
              <w:rPr>
                <w:rFonts w:ascii="Times New Roman" w:eastAsia="Times New Roman"/>
                <w:sz w:val="21"/>
              </w:rPr>
              <w:t>33</w:t>
            </w:r>
            <w:r>
              <w:rPr>
                <w:rFonts w:ascii="Times New Roman" w:eastAsia="Times New Roman"/>
                <w:spacing w:val="4"/>
                <w:sz w:val="21"/>
              </w:rPr>
              <w:t xml:space="preserve"> </w:t>
            </w:r>
            <w:r>
              <w:rPr>
                <w:spacing w:val="-9"/>
                <w:sz w:val="21"/>
              </w:rPr>
              <w:t xml:space="preserve">个婴儿就有 </w:t>
            </w:r>
            <w:r>
              <w:rPr>
                <w:rFonts w:ascii="Times New Roman" w:eastAsia="Times New Roman"/>
                <w:sz w:val="21"/>
              </w:rPr>
              <w:t>1</w:t>
            </w:r>
            <w:r>
              <w:rPr>
                <w:rFonts w:ascii="Times New Roman" w:eastAsia="Times New Roman"/>
                <w:spacing w:val="5"/>
                <w:sz w:val="21"/>
              </w:rPr>
              <w:t xml:space="preserve"> </w:t>
            </w:r>
            <w:r>
              <w:rPr>
                <w:sz w:val="21"/>
              </w:rPr>
              <w:t>个有出生缺陷。学习出生缺陷防治知识可以有</w:t>
            </w:r>
            <w:r>
              <w:rPr>
                <w:spacing w:val="-5"/>
                <w:w w:val="95"/>
                <w:sz w:val="21"/>
              </w:rPr>
              <w:t xml:space="preserve">效降低出生缺陷的发生概率。同时，学习科学育儿和儿童早期发展知识，有助于  </w:t>
            </w:r>
            <w:r>
              <w:rPr>
                <w:spacing w:val="-11"/>
                <w:w w:val="95"/>
                <w:sz w:val="21"/>
              </w:rPr>
              <w:t>提高养育照护能力，充分开发儿童潜能，促进儿童体格、心理、认知、情感和社</w:t>
            </w:r>
          </w:p>
          <w:p>
            <w:pPr>
              <w:pStyle w:val="11"/>
              <w:spacing w:before="3" w:line="252" w:lineRule="exact"/>
              <w:ind w:left="108"/>
              <w:rPr>
                <w:sz w:val="21"/>
              </w:rPr>
            </w:pPr>
            <w:r>
              <w:rPr>
                <w:sz w:val="21"/>
              </w:rPr>
              <w:t>会适应能力的全面发展。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tcPr>
          <w:p>
            <w:pPr>
              <w:pStyle w:val="11"/>
              <w:spacing w:before="59"/>
              <w:ind w:left="225"/>
              <w:rPr>
                <w:rFonts w:ascii="Times New Roman"/>
                <w:sz w:val="24"/>
              </w:rPr>
            </w:pPr>
            <w:r>
              <w:rPr>
                <w:rFonts w:ascii="Times New Roman"/>
                <w:sz w:val="24"/>
              </w:rPr>
              <w:t>53</w:t>
            </w:r>
          </w:p>
        </w:tc>
        <w:tc>
          <w:tcPr>
            <w:tcW w:w="6442" w:type="dxa"/>
            <w:gridSpan w:val="4"/>
          </w:tcPr>
          <w:p>
            <w:pPr>
              <w:pStyle w:val="11"/>
              <w:spacing w:before="43"/>
              <w:ind w:left="108"/>
              <w:rPr>
                <w:rFonts w:hint="eastAsia" w:ascii="仿宋" w:eastAsia="仿宋"/>
                <w:b/>
                <w:sz w:val="24"/>
              </w:rPr>
            </w:pPr>
            <w:r>
              <w:rPr>
                <w:rFonts w:hint="eastAsia" w:ascii="仿宋" w:eastAsia="仿宋"/>
                <w:b/>
                <w:sz w:val="24"/>
              </w:rPr>
              <w:t>主动接受婚前医学检查和孕前优生健康检查</w:t>
            </w:r>
          </w:p>
        </w:tc>
        <w:tc>
          <w:tcPr>
            <w:tcW w:w="1050" w:type="dxa"/>
          </w:tcPr>
          <w:p>
            <w:pPr>
              <w:pStyle w:val="11"/>
              <w:spacing w:before="43"/>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1"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11"/>
              <w:rPr>
                <w:rFonts w:ascii="宋体"/>
                <w:b/>
                <w:sz w:val="19"/>
              </w:rPr>
            </w:pPr>
          </w:p>
          <w:p>
            <w:pPr>
              <w:pStyle w:val="11"/>
              <w:ind w:left="225"/>
              <w:rPr>
                <w:rFonts w:ascii="Times New Roman"/>
                <w:sz w:val="24"/>
              </w:rPr>
            </w:pPr>
            <w:r>
              <w:rPr>
                <w:rFonts w:ascii="Times New Roman"/>
                <w:sz w:val="24"/>
              </w:rPr>
              <w:t>54</w:t>
            </w:r>
          </w:p>
        </w:tc>
        <w:tc>
          <w:tcPr>
            <w:tcW w:w="6442" w:type="dxa"/>
            <w:gridSpan w:val="4"/>
          </w:tcPr>
          <w:p>
            <w:pPr>
              <w:pStyle w:val="11"/>
              <w:spacing w:before="1"/>
              <w:ind w:left="108"/>
              <w:rPr>
                <w:rFonts w:hint="eastAsia" w:ascii="仿宋" w:eastAsia="仿宋"/>
                <w:b/>
                <w:sz w:val="24"/>
              </w:rPr>
            </w:pPr>
            <w:r>
              <w:rPr>
                <w:rFonts w:hint="eastAsia" w:ascii="仿宋" w:eastAsia="仿宋"/>
                <w:b/>
                <w:sz w:val="24"/>
              </w:rPr>
              <w:t xml:space="preserve">倡导 </w:t>
            </w:r>
            <w:r>
              <w:rPr>
                <w:rFonts w:ascii="Times New Roman" w:eastAsia="Times New Roman"/>
                <w:b/>
                <w:sz w:val="24"/>
              </w:rPr>
              <w:t>0</w:t>
            </w:r>
            <w:r>
              <w:rPr>
                <w:rFonts w:hint="eastAsia" w:ascii="仿宋" w:eastAsia="仿宋"/>
                <w:b/>
                <w:sz w:val="24"/>
              </w:rPr>
              <w:t>～</w:t>
            </w:r>
            <w:r>
              <w:rPr>
                <w:rFonts w:ascii="Times New Roman" w:eastAsia="Times New Roman"/>
                <w:b/>
                <w:sz w:val="24"/>
              </w:rPr>
              <w:t xml:space="preserve">6 </w:t>
            </w:r>
            <w:r>
              <w:rPr>
                <w:rFonts w:hint="eastAsia" w:ascii="仿宋" w:eastAsia="仿宋"/>
                <w:b/>
                <w:sz w:val="24"/>
              </w:rPr>
              <w:t xml:space="preserve">个月婴儿纯母乳喂养，为 </w:t>
            </w:r>
            <w:r>
              <w:rPr>
                <w:rFonts w:ascii="Times New Roman" w:eastAsia="Times New Roman"/>
                <w:b/>
                <w:sz w:val="24"/>
              </w:rPr>
              <w:t xml:space="preserve">6 </w:t>
            </w:r>
            <w:r>
              <w:rPr>
                <w:rFonts w:hint="eastAsia" w:ascii="仿宋" w:eastAsia="仿宋"/>
                <w:b/>
                <w:sz w:val="24"/>
              </w:rPr>
              <w:t>个月以上婴儿适时合</w:t>
            </w:r>
          </w:p>
          <w:p>
            <w:pPr>
              <w:pStyle w:val="11"/>
              <w:spacing w:before="4" w:line="289" w:lineRule="exact"/>
              <w:ind w:left="108"/>
              <w:rPr>
                <w:rFonts w:hint="eastAsia" w:ascii="仿宋" w:eastAsia="仿宋"/>
                <w:b/>
                <w:sz w:val="24"/>
              </w:rPr>
            </w:pPr>
            <w:r>
              <w:rPr>
                <w:rFonts w:hint="eastAsia" w:ascii="仿宋" w:eastAsia="仿宋"/>
                <w:b/>
                <w:sz w:val="24"/>
              </w:rPr>
              <w:t>理添加辅食</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42" w:lineRule="auto"/>
              <w:ind w:left="108" w:right="92"/>
              <w:rPr>
                <w:sz w:val="21"/>
              </w:rPr>
            </w:pPr>
            <w:r>
              <w:rPr>
                <w:spacing w:val="-8"/>
                <w:w w:val="95"/>
                <w:sz w:val="21"/>
              </w:rPr>
              <w:t xml:space="preserve">说明：世界卫生组织认为母乳喂养可以降低儿童的死亡率，对健康带来的益处可  </w:t>
            </w:r>
            <w:r>
              <w:rPr>
                <w:spacing w:val="-14"/>
                <w:sz w:val="21"/>
              </w:rPr>
              <w:t xml:space="preserve">以延续到成人期，也有利于母亲防治相关疾病。母乳无法满足 </w:t>
            </w:r>
            <w:r>
              <w:rPr>
                <w:rFonts w:ascii="Times New Roman" w:eastAsia="Times New Roman"/>
                <w:sz w:val="21"/>
              </w:rPr>
              <w:t xml:space="preserve">6 </w:t>
            </w:r>
            <w:r>
              <w:rPr>
                <w:sz w:val="21"/>
              </w:rPr>
              <w:t>个月以上婴儿的</w:t>
            </w:r>
          </w:p>
          <w:p>
            <w:pPr>
              <w:pStyle w:val="11"/>
              <w:spacing w:before="1" w:line="251" w:lineRule="exact"/>
              <w:ind w:left="108"/>
              <w:rPr>
                <w:sz w:val="21"/>
              </w:rPr>
            </w:pPr>
            <w:r>
              <w:rPr>
                <w:sz w:val="21"/>
              </w:rPr>
              <w:t>营养需求，需要适时合理添加辅食，达到营养均衡搭配。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4"/>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693" w:type="dxa"/>
          </w:tcPr>
          <w:p>
            <w:pPr>
              <w:pStyle w:val="11"/>
              <w:spacing w:before="60"/>
              <w:ind w:left="225"/>
              <w:rPr>
                <w:rFonts w:ascii="Times New Roman"/>
                <w:sz w:val="24"/>
              </w:rPr>
            </w:pPr>
            <w:r>
              <w:rPr>
                <w:rFonts w:ascii="Times New Roman"/>
                <w:sz w:val="24"/>
              </w:rPr>
              <w:t>55</w:t>
            </w:r>
          </w:p>
        </w:tc>
        <w:tc>
          <w:tcPr>
            <w:tcW w:w="3458" w:type="dxa"/>
          </w:tcPr>
          <w:p>
            <w:pPr>
              <w:pStyle w:val="11"/>
              <w:spacing w:before="44"/>
              <w:ind w:left="108"/>
              <w:rPr>
                <w:rFonts w:hint="eastAsia" w:ascii="仿宋" w:eastAsia="仿宋"/>
                <w:b/>
                <w:sz w:val="24"/>
              </w:rPr>
            </w:pPr>
            <w:r>
              <w:rPr>
                <w:rFonts w:hint="eastAsia" w:ascii="仿宋" w:eastAsia="仿宋"/>
                <w:b/>
                <w:sz w:val="24"/>
              </w:rPr>
              <w:t>产前筛查率（</w:t>
            </w:r>
            <w:r>
              <w:rPr>
                <w:rFonts w:ascii="Times New Roman" w:eastAsia="Times New Roman"/>
                <w:b/>
                <w:sz w:val="24"/>
              </w:rPr>
              <w:t>%</w:t>
            </w:r>
            <w:r>
              <w:rPr>
                <w:rFonts w:hint="eastAsia" w:ascii="仿宋" w:eastAsia="仿宋"/>
                <w:b/>
                <w:sz w:val="24"/>
              </w:rPr>
              <w:t>）</w:t>
            </w:r>
          </w:p>
        </w:tc>
        <w:tc>
          <w:tcPr>
            <w:tcW w:w="1282" w:type="dxa"/>
          </w:tcPr>
          <w:p>
            <w:pPr>
              <w:pStyle w:val="11"/>
              <w:spacing w:before="60"/>
              <w:ind w:left="89" w:right="76"/>
              <w:jc w:val="center"/>
              <w:rPr>
                <w:rFonts w:ascii="Times New Roman"/>
                <w:sz w:val="24"/>
              </w:rPr>
            </w:pPr>
            <w:r>
              <w:rPr>
                <w:rFonts w:ascii="Times New Roman"/>
                <w:sz w:val="24"/>
              </w:rPr>
              <w:t>61.1</w:t>
            </w:r>
          </w:p>
        </w:tc>
        <w:tc>
          <w:tcPr>
            <w:tcW w:w="851" w:type="dxa"/>
          </w:tcPr>
          <w:p>
            <w:pPr>
              <w:pStyle w:val="11"/>
              <w:spacing w:before="60"/>
              <w:ind w:left="66" w:right="52"/>
              <w:jc w:val="center"/>
              <w:rPr>
                <w:rFonts w:ascii="Times New Roman" w:hAnsi="Times New Roman"/>
                <w:sz w:val="24"/>
              </w:rPr>
            </w:pPr>
            <w:r>
              <w:rPr>
                <w:rFonts w:ascii="Times New Roman" w:hAnsi="Times New Roman"/>
                <w:sz w:val="24"/>
              </w:rPr>
              <w:t>≥70</w:t>
            </w:r>
          </w:p>
        </w:tc>
        <w:tc>
          <w:tcPr>
            <w:tcW w:w="851" w:type="dxa"/>
          </w:tcPr>
          <w:p>
            <w:pPr>
              <w:pStyle w:val="11"/>
              <w:spacing w:before="60"/>
              <w:ind w:left="66" w:right="53"/>
              <w:jc w:val="center"/>
              <w:rPr>
                <w:rFonts w:ascii="Times New Roman" w:hAnsi="Times New Roman"/>
                <w:sz w:val="24"/>
              </w:rPr>
            </w:pPr>
            <w:r>
              <w:rPr>
                <w:rFonts w:ascii="Times New Roman" w:hAnsi="Times New Roman"/>
                <w:sz w:val="24"/>
              </w:rPr>
              <w:t>≥80</w:t>
            </w:r>
          </w:p>
        </w:tc>
        <w:tc>
          <w:tcPr>
            <w:tcW w:w="1050" w:type="dxa"/>
          </w:tcPr>
          <w:p>
            <w:pPr>
              <w:pStyle w:val="11"/>
              <w:spacing w:before="44"/>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695" w:type="dxa"/>
            <w:vMerge w:val="continue"/>
            <w:tcBorders>
              <w:top w:val="nil"/>
            </w:tcBorders>
          </w:tcPr>
          <w:p>
            <w:pPr>
              <w:rPr>
                <w:sz w:val="2"/>
                <w:szCs w:val="2"/>
              </w:rPr>
            </w:pPr>
          </w:p>
        </w:tc>
        <w:tc>
          <w:tcPr>
            <w:tcW w:w="693" w:type="dxa"/>
          </w:tcPr>
          <w:p>
            <w:pPr>
              <w:pStyle w:val="11"/>
              <w:spacing w:before="174"/>
              <w:ind w:left="225"/>
              <w:rPr>
                <w:rFonts w:ascii="Times New Roman"/>
                <w:sz w:val="24"/>
              </w:rPr>
            </w:pPr>
            <w:r>
              <w:rPr>
                <w:rFonts w:ascii="Times New Roman"/>
                <w:sz w:val="24"/>
              </w:rPr>
              <w:t>56</w:t>
            </w:r>
          </w:p>
        </w:tc>
        <w:tc>
          <w:tcPr>
            <w:tcW w:w="3458" w:type="dxa"/>
          </w:tcPr>
          <w:p>
            <w:pPr>
              <w:pStyle w:val="11"/>
              <w:spacing w:before="2"/>
              <w:ind w:left="108"/>
              <w:rPr>
                <w:rFonts w:hint="eastAsia" w:ascii="仿宋" w:eastAsia="仿宋"/>
                <w:b/>
                <w:sz w:val="24"/>
              </w:rPr>
            </w:pPr>
            <w:r>
              <w:rPr>
                <w:rFonts w:hint="eastAsia" w:ascii="仿宋" w:eastAsia="仿宋"/>
                <w:b/>
                <w:sz w:val="24"/>
              </w:rPr>
              <w:t>新生儿遗传代谢性疾病筛查率</w:t>
            </w:r>
          </w:p>
          <w:p>
            <w:pPr>
              <w:pStyle w:val="11"/>
              <w:spacing w:before="5" w:line="289" w:lineRule="exact"/>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174"/>
              <w:ind w:left="89" w:right="76"/>
              <w:jc w:val="center"/>
              <w:rPr>
                <w:rFonts w:ascii="Times New Roman"/>
                <w:sz w:val="24"/>
              </w:rPr>
            </w:pPr>
            <w:r>
              <w:rPr>
                <w:rFonts w:ascii="Times New Roman"/>
                <w:sz w:val="24"/>
              </w:rPr>
              <w:t>97.5</w:t>
            </w:r>
          </w:p>
        </w:tc>
        <w:tc>
          <w:tcPr>
            <w:tcW w:w="1702" w:type="dxa"/>
            <w:gridSpan w:val="2"/>
          </w:tcPr>
          <w:p>
            <w:pPr>
              <w:pStyle w:val="11"/>
              <w:spacing w:before="174"/>
              <w:ind w:left="551" w:right="539"/>
              <w:jc w:val="center"/>
              <w:rPr>
                <w:rFonts w:ascii="Times New Roman" w:hAnsi="Times New Roman"/>
                <w:sz w:val="24"/>
              </w:rPr>
            </w:pPr>
            <w:r>
              <w:rPr>
                <w:rFonts w:ascii="Times New Roman" w:hAnsi="Times New Roman"/>
                <w:sz w:val="24"/>
              </w:rPr>
              <w:t>≥98</w:t>
            </w:r>
          </w:p>
        </w:tc>
        <w:tc>
          <w:tcPr>
            <w:tcW w:w="1050" w:type="dxa"/>
          </w:tcPr>
          <w:p>
            <w:pPr>
              <w:pStyle w:val="11"/>
              <w:spacing w:before="158"/>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693" w:type="dxa"/>
          </w:tcPr>
          <w:p>
            <w:pPr>
              <w:pStyle w:val="11"/>
              <w:spacing w:before="59"/>
              <w:ind w:left="225"/>
              <w:rPr>
                <w:rFonts w:ascii="Times New Roman"/>
                <w:sz w:val="24"/>
              </w:rPr>
            </w:pPr>
            <w:r>
              <w:rPr>
                <w:rFonts w:ascii="Times New Roman"/>
                <w:sz w:val="24"/>
              </w:rPr>
              <w:t>57</w:t>
            </w:r>
          </w:p>
        </w:tc>
        <w:tc>
          <w:tcPr>
            <w:tcW w:w="3458" w:type="dxa"/>
          </w:tcPr>
          <w:p>
            <w:pPr>
              <w:pStyle w:val="11"/>
              <w:spacing w:before="43"/>
              <w:ind w:left="108"/>
              <w:rPr>
                <w:rFonts w:hint="eastAsia" w:ascii="仿宋" w:eastAsia="仿宋"/>
                <w:b/>
                <w:sz w:val="24"/>
              </w:rPr>
            </w:pPr>
            <w:r>
              <w:rPr>
                <w:rFonts w:hint="eastAsia" w:ascii="仿宋" w:eastAsia="仿宋"/>
                <w:b/>
                <w:sz w:val="24"/>
              </w:rPr>
              <w:t>新生儿听力筛查率（</w:t>
            </w:r>
            <w:r>
              <w:rPr>
                <w:rFonts w:ascii="Times New Roman" w:eastAsia="Times New Roman"/>
                <w:b/>
                <w:sz w:val="24"/>
              </w:rPr>
              <w:t>%</w:t>
            </w:r>
            <w:r>
              <w:rPr>
                <w:rFonts w:hint="eastAsia" w:ascii="仿宋" w:eastAsia="仿宋"/>
                <w:b/>
                <w:sz w:val="24"/>
              </w:rPr>
              <w:t>）</w:t>
            </w:r>
          </w:p>
        </w:tc>
        <w:tc>
          <w:tcPr>
            <w:tcW w:w="1282" w:type="dxa"/>
          </w:tcPr>
          <w:p>
            <w:pPr>
              <w:pStyle w:val="11"/>
              <w:spacing w:before="59"/>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59"/>
              <w:ind w:left="551" w:right="539"/>
              <w:jc w:val="center"/>
              <w:rPr>
                <w:rFonts w:ascii="Times New Roman" w:hAnsi="Times New Roman"/>
                <w:sz w:val="24"/>
              </w:rPr>
            </w:pPr>
            <w:r>
              <w:rPr>
                <w:rFonts w:ascii="Times New Roman" w:hAnsi="Times New Roman"/>
                <w:sz w:val="24"/>
              </w:rPr>
              <w:t>≥90</w:t>
            </w:r>
          </w:p>
        </w:tc>
        <w:tc>
          <w:tcPr>
            <w:tcW w:w="1050" w:type="dxa"/>
          </w:tcPr>
          <w:p>
            <w:pPr>
              <w:pStyle w:val="11"/>
              <w:spacing w:before="43"/>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spacing w:before="5"/>
              <w:rPr>
                <w:rFonts w:ascii="宋体"/>
                <w:b/>
                <w:sz w:val="29"/>
              </w:rPr>
            </w:pPr>
          </w:p>
          <w:p>
            <w:pPr>
              <w:pStyle w:val="11"/>
              <w:ind w:left="225"/>
              <w:rPr>
                <w:rFonts w:ascii="Times New Roman"/>
                <w:sz w:val="24"/>
              </w:rPr>
            </w:pPr>
            <w:r>
              <w:rPr>
                <w:rFonts w:ascii="Times New Roman"/>
                <w:sz w:val="24"/>
              </w:rPr>
              <w:t>58</w:t>
            </w:r>
          </w:p>
        </w:tc>
        <w:tc>
          <w:tcPr>
            <w:tcW w:w="3458" w:type="dxa"/>
          </w:tcPr>
          <w:p>
            <w:pPr>
              <w:pStyle w:val="11"/>
              <w:spacing w:before="1"/>
              <w:ind w:left="108"/>
              <w:rPr>
                <w:rFonts w:hint="eastAsia" w:ascii="仿宋" w:eastAsia="仿宋"/>
                <w:b/>
                <w:sz w:val="24"/>
              </w:rPr>
            </w:pPr>
            <w:r>
              <w:rPr>
                <w:rFonts w:hint="eastAsia" w:ascii="仿宋" w:eastAsia="仿宋"/>
                <w:b/>
                <w:spacing w:val="-8"/>
                <w:sz w:val="24"/>
              </w:rPr>
              <w:t>农村适龄妇女宫颈癌和乳腺癌筛</w:t>
            </w:r>
          </w:p>
          <w:p>
            <w:pPr>
              <w:pStyle w:val="11"/>
              <w:spacing w:before="4" w:line="289" w:lineRule="exact"/>
              <w:ind w:left="108"/>
              <w:rPr>
                <w:rFonts w:hint="eastAsia" w:ascii="仿宋" w:eastAsia="仿宋"/>
                <w:b/>
                <w:sz w:val="24"/>
              </w:rPr>
            </w:pPr>
            <w:r>
              <w:rPr>
                <w:rFonts w:hint="eastAsia" w:ascii="仿宋" w:eastAsia="仿宋"/>
                <w:b/>
                <w:sz w:val="24"/>
              </w:rPr>
              <w:t>查覆盖率（</w:t>
            </w:r>
            <w:r>
              <w:rPr>
                <w:rFonts w:ascii="Times New Roman" w:eastAsia="Times New Roman"/>
                <w:b/>
                <w:sz w:val="24"/>
              </w:rPr>
              <w:t>%</w:t>
            </w:r>
            <w:r>
              <w:rPr>
                <w:rFonts w:hint="eastAsia" w:ascii="仿宋" w:eastAsia="仿宋"/>
                <w:b/>
                <w:sz w:val="24"/>
              </w:rPr>
              <w:t>）</w:t>
            </w:r>
          </w:p>
        </w:tc>
        <w:tc>
          <w:tcPr>
            <w:tcW w:w="1282" w:type="dxa"/>
          </w:tcPr>
          <w:p>
            <w:pPr>
              <w:pStyle w:val="11"/>
              <w:spacing w:before="173"/>
              <w:ind w:left="89" w:right="76"/>
              <w:jc w:val="center"/>
              <w:rPr>
                <w:rFonts w:ascii="Times New Roman"/>
                <w:sz w:val="24"/>
              </w:rPr>
            </w:pPr>
            <w:r>
              <w:rPr>
                <w:rFonts w:ascii="Times New Roman"/>
                <w:sz w:val="24"/>
              </w:rPr>
              <w:t>52.6</w:t>
            </w:r>
          </w:p>
        </w:tc>
        <w:tc>
          <w:tcPr>
            <w:tcW w:w="851" w:type="dxa"/>
          </w:tcPr>
          <w:p>
            <w:pPr>
              <w:pStyle w:val="11"/>
              <w:spacing w:before="173"/>
              <w:ind w:left="66" w:right="52"/>
              <w:jc w:val="center"/>
              <w:rPr>
                <w:rFonts w:ascii="Times New Roman" w:hAnsi="Times New Roman"/>
                <w:sz w:val="24"/>
              </w:rPr>
            </w:pPr>
            <w:r>
              <w:rPr>
                <w:rFonts w:ascii="Times New Roman" w:hAnsi="Times New Roman"/>
                <w:sz w:val="24"/>
              </w:rPr>
              <w:t>≥80</w:t>
            </w:r>
          </w:p>
        </w:tc>
        <w:tc>
          <w:tcPr>
            <w:tcW w:w="851" w:type="dxa"/>
          </w:tcPr>
          <w:p>
            <w:pPr>
              <w:pStyle w:val="11"/>
              <w:spacing w:before="173"/>
              <w:ind w:left="66" w:right="53"/>
              <w:jc w:val="center"/>
              <w:rPr>
                <w:rFonts w:ascii="Times New Roman" w:hAnsi="Times New Roman"/>
                <w:sz w:val="24"/>
              </w:rPr>
            </w:pPr>
            <w:r>
              <w:rPr>
                <w:rFonts w:ascii="Times New Roman" w:hAnsi="Times New Roman"/>
                <w:sz w:val="24"/>
              </w:rPr>
              <w:t>≥90</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63"/>
              <w:ind w:left="108"/>
              <w:rPr>
                <w:sz w:val="21"/>
              </w:rPr>
            </w:pPr>
            <w:r>
              <w:rPr>
                <w:sz w:val="21"/>
              </w:rPr>
              <w:t>说明：覆盖率以县为单位统计。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7" w:hRule="atLeast"/>
        </w:trPr>
        <w:tc>
          <w:tcPr>
            <w:tcW w:w="695" w:type="dxa"/>
            <w:vMerge w:val="restart"/>
          </w:tcPr>
          <w:p>
            <w:pPr>
              <w:pStyle w:val="11"/>
              <w:rPr>
                <w:rFonts w:ascii="宋体"/>
                <w:b/>
                <w:sz w:val="24"/>
              </w:rPr>
            </w:pPr>
          </w:p>
          <w:p>
            <w:pPr>
              <w:pStyle w:val="11"/>
              <w:rPr>
                <w:rFonts w:ascii="宋体"/>
                <w:b/>
                <w:sz w:val="24"/>
              </w:rPr>
            </w:pPr>
          </w:p>
          <w:p>
            <w:pPr>
              <w:pStyle w:val="11"/>
              <w:spacing w:before="1"/>
              <w:rPr>
                <w:rFonts w:ascii="宋体"/>
                <w:b/>
                <w:sz w:val="33"/>
              </w:rPr>
            </w:pPr>
          </w:p>
          <w:p>
            <w:pPr>
              <w:pStyle w:val="11"/>
              <w:spacing w:line="242" w:lineRule="auto"/>
              <w:ind w:left="226" w:right="10" w:hanging="120"/>
              <w:rPr>
                <w:rFonts w:hint="eastAsia" w:ascii="黑体" w:eastAsia="黑体"/>
                <w:sz w:val="24"/>
              </w:rPr>
            </w:pPr>
            <w:r>
              <w:rPr>
                <w:rFonts w:hint="eastAsia" w:ascii="黑体" w:eastAsia="黑体"/>
                <w:w w:val="85"/>
                <w:sz w:val="21"/>
              </w:rPr>
              <w:t xml:space="preserve">（八） </w:t>
            </w:r>
            <w:r>
              <w:rPr>
                <w:rFonts w:hint="eastAsia" w:ascii="黑体" w:eastAsia="黑体"/>
                <w:sz w:val="24"/>
              </w:rPr>
              <w:t>中小学健康促进行动</w:t>
            </w:r>
          </w:p>
        </w:tc>
        <w:tc>
          <w:tcPr>
            <w:tcW w:w="8185" w:type="dxa"/>
            <w:gridSpan w:val="6"/>
          </w:tcPr>
          <w:p>
            <w:pPr>
              <w:pStyle w:val="11"/>
              <w:spacing w:before="39"/>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0"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spacing w:before="11"/>
              <w:rPr>
                <w:rFonts w:ascii="宋体"/>
                <w:b/>
                <w:sz w:val="26"/>
              </w:rPr>
            </w:pPr>
          </w:p>
          <w:p>
            <w:pPr>
              <w:pStyle w:val="11"/>
              <w:ind w:left="225"/>
              <w:rPr>
                <w:rFonts w:ascii="Times New Roman"/>
                <w:sz w:val="24"/>
              </w:rPr>
            </w:pPr>
            <w:r>
              <w:rPr>
                <w:rFonts w:ascii="Times New Roman"/>
                <w:sz w:val="24"/>
              </w:rPr>
              <w:t>59</w:t>
            </w:r>
          </w:p>
        </w:tc>
        <w:tc>
          <w:tcPr>
            <w:tcW w:w="3458" w:type="dxa"/>
          </w:tcPr>
          <w:p>
            <w:pPr>
              <w:pStyle w:val="11"/>
              <w:spacing w:before="102" w:line="242" w:lineRule="auto"/>
              <w:ind w:left="108" w:right="80"/>
              <w:rPr>
                <w:rFonts w:hint="eastAsia" w:ascii="仿宋" w:eastAsia="仿宋"/>
                <w:b/>
                <w:sz w:val="24"/>
              </w:rPr>
            </w:pPr>
            <w:r>
              <w:rPr>
                <w:rFonts w:hint="eastAsia" w:ascii="仿宋" w:eastAsia="仿宋"/>
                <w:b/>
                <w:sz w:val="24"/>
              </w:rPr>
              <w:t>国家学生体质健康标准达标优良率（</w:t>
            </w:r>
            <w:r>
              <w:rPr>
                <w:rFonts w:ascii="Times New Roman" w:eastAsia="Times New Roman"/>
                <w:b/>
                <w:sz w:val="24"/>
              </w:rPr>
              <w:t>%</w:t>
            </w:r>
            <w:r>
              <w:rPr>
                <w:rFonts w:hint="eastAsia" w:ascii="仿宋" w:eastAsia="仿宋"/>
                <w:b/>
                <w:sz w:val="24"/>
              </w:rPr>
              <w:t>）</w:t>
            </w:r>
          </w:p>
        </w:tc>
        <w:tc>
          <w:tcPr>
            <w:tcW w:w="1282" w:type="dxa"/>
          </w:tcPr>
          <w:p>
            <w:pPr>
              <w:pStyle w:val="11"/>
              <w:spacing w:before="2"/>
              <w:rPr>
                <w:rFonts w:ascii="宋体"/>
                <w:b/>
                <w:sz w:val="21"/>
              </w:rPr>
            </w:pPr>
          </w:p>
          <w:p>
            <w:pPr>
              <w:pStyle w:val="11"/>
              <w:ind w:left="89" w:right="76"/>
              <w:jc w:val="center"/>
              <w:rPr>
                <w:rFonts w:ascii="Times New Roman"/>
                <w:sz w:val="24"/>
              </w:rPr>
            </w:pPr>
            <w:r>
              <w:rPr>
                <w:rFonts w:ascii="Times New Roman"/>
                <w:sz w:val="24"/>
              </w:rPr>
              <w:t>31.8</w:t>
            </w:r>
          </w:p>
        </w:tc>
        <w:tc>
          <w:tcPr>
            <w:tcW w:w="851" w:type="dxa"/>
          </w:tcPr>
          <w:p>
            <w:pPr>
              <w:pStyle w:val="11"/>
              <w:spacing w:before="2"/>
              <w:rPr>
                <w:rFonts w:ascii="宋体"/>
                <w:b/>
                <w:sz w:val="21"/>
              </w:rPr>
            </w:pPr>
          </w:p>
          <w:p>
            <w:pPr>
              <w:pStyle w:val="11"/>
              <w:ind w:left="66" w:right="52"/>
              <w:jc w:val="center"/>
              <w:rPr>
                <w:rFonts w:ascii="Times New Roman" w:hAnsi="Times New Roman"/>
                <w:sz w:val="24"/>
              </w:rPr>
            </w:pPr>
            <w:r>
              <w:rPr>
                <w:rFonts w:ascii="Times New Roman" w:hAnsi="Times New Roman"/>
                <w:sz w:val="24"/>
              </w:rPr>
              <w:t>≥50</w:t>
            </w:r>
          </w:p>
        </w:tc>
        <w:tc>
          <w:tcPr>
            <w:tcW w:w="851" w:type="dxa"/>
          </w:tcPr>
          <w:p>
            <w:pPr>
              <w:pStyle w:val="11"/>
              <w:spacing w:before="2"/>
              <w:rPr>
                <w:rFonts w:ascii="宋体"/>
                <w:b/>
                <w:sz w:val="21"/>
              </w:rPr>
            </w:pPr>
          </w:p>
          <w:p>
            <w:pPr>
              <w:pStyle w:val="11"/>
              <w:ind w:left="66" w:right="53"/>
              <w:jc w:val="center"/>
              <w:rPr>
                <w:rFonts w:ascii="Times New Roman" w:hAnsi="Times New Roman"/>
                <w:sz w:val="24"/>
              </w:rPr>
            </w:pPr>
            <w:r>
              <w:rPr>
                <w:rFonts w:ascii="Times New Roman" w:hAnsi="Times New Roman"/>
                <w:sz w:val="24"/>
              </w:rPr>
              <w:t>≥60</w:t>
            </w:r>
          </w:p>
        </w:tc>
        <w:tc>
          <w:tcPr>
            <w:tcW w:w="1050" w:type="dxa"/>
          </w:tcPr>
          <w:p>
            <w:pPr>
              <w:pStyle w:val="11"/>
              <w:spacing w:before="12"/>
              <w:rPr>
                <w:rFonts w:ascii="宋体"/>
                <w:b/>
                <w:sz w:val="19"/>
              </w:rPr>
            </w:pPr>
          </w:p>
          <w:p>
            <w:pPr>
              <w:pStyle w:val="11"/>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60"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49" w:line="242" w:lineRule="auto"/>
              <w:ind w:left="108" w:right="-15"/>
              <w:rPr>
                <w:sz w:val="21"/>
              </w:rPr>
            </w:pPr>
            <w:r>
              <w:rPr>
                <w:spacing w:val="-10"/>
                <w:sz w:val="21"/>
              </w:rPr>
              <w:t>说明：《国家学生体质健康标准》是测量学生体质健康状况和锻炼效果的评价标</w:t>
            </w:r>
            <w:r>
              <w:rPr>
                <w:spacing w:val="-14"/>
                <w:w w:val="95"/>
                <w:sz w:val="21"/>
              </w:rPr>
              <w:t xml:space="preserve">准，实施这一评价标准有利于促进学生积极参加体育锻炼，养成良好的锻炼习惯，  </w:t>
            </w:r>
            <w:r>
              <w:rPr>
                <w:spacing w:val="-14"/>
                <w:sz w:val="21"/>
              </w:rPr>
              <w:t>提高体质健康水平。</w:t>
            </w:r>
          </w:p>
          <w:p>
            <w:pPr>
              <w:pStyle w:val="11"/>
              <w:spacing w:before="3"/>
              <w:ind w:left="108"/>
              <w:rPr>
                <w:sz w:val="21"/>
              </w:rPr>
            </w:pPr>
            <w:r>
              <w:rPr>
                <w:sz w:val="21"/>
              </w:rPr>
              <w:t xml:space="preserve">计算方法：学年体质综合评定总分 </w:t>
            </w:r>
            <w:r>
              <w:rPr>
                <w:rFonts w:ascii="Times New Roman" w:eastAsia="Times New Roman"/>
                <w:sz w:val="21"/>
              </w:rPr>
              <w:t xml:space="preserve">80 </w:t>
            </w:r>
            <w:r>
              <w:rPr>
                <w:sz w:val="21"/>
              </w:rPr>
              <w:t>分及以上学生数</w:t>
            </w:r>
            <w:r>
              <w:rPr>
                <w:rFonts w:ascii="Times New Roman" w:eastAsia="Times New Roman"/>
                <w:sz w:val="21"/>
              </w:rPr>
              <w:t>/</w:t>
            </w:r>
            <w:r>
              <w:rPr>
                <w:sz w:val="21"/>
              </w:rPr>
              <w:t>参加评定学生总人数</w:t>
            </w:r>
          </w:p>
          <w:p>
            <w:pPr>
              <w:pStyle w:val="11"/>
              <w:spacing w:before="2"/>
              <w:ind w:left="108"/>
              <w:rPr>
                <w:sz w:val="21"/>
              </w:rPr>
            </w:pP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00" w:hRule="atLeast"/>
        </w:trPr>
        <w:tc>
          <w:tcPr>
            <w:tcW w:w="695" w:type="dxa"/>
            <w:vMerge w:val="continue"/>
            <w:tcBorders>
              <w:top w:val="nil"/>
            </w:tcBorders>
          </w:tcPr>
          <w:p>
            <w:pPr>
              <w:rPr>
                <w:sz w:val="2"/>
                <w:szCs w:val="2"/>
              </w:rPr>
            </w:pPr>
          </w:p>
        </w:tc>
        <w:tc>
          <w:tcPr>
            <w:tcW w:w="693" w:type="dxa"/>
          </w:tcPr>
          <w:p>
            <w:pPr>
              <w:pStyle w:val="11"/>
              <w:rPr>
                <w:rFonts w:ascii="宋体"/>
                <w:b/>
                <w:sz w:val="26"/>
              </w:rPr>
            </w:pPr>
          </w:p>
          <w:p>
            <w:pPr>
              <w:pStyle w:val="11"/>
              <w:spacing w:before="178"/>
              <w:ind w:left="225"/>
              <w:rPr>
                <w:rFonts w:ascii="Times New Roman"/>
                <w:sz w:val="24"/>
              </w:rPr>
            </w:pPr>
            <w:r>
              <w:rPr>
                <w:rFonts w:ascii="Times New Roman"/>
                <w:sz w:val="24"/>
              </w:rPr>
              <w:t>60</w:t>
            </w:r>
          </w:p>
        </w:tc>
        <w:tc>
          <w:tcPr>
            <w:tcW w:w="3458" w:type="dxa"/>
          </w:tcPr>
          <w:p>
            <w:pPr>
              <w:pStyle w:val="11"/>
              <w:spacing w:before="6"/>
              <w:rPr>
                <w:rFonts w:ascii="宋体"/>
                <w:b/>
                <w:sz w:val="26"/>
              </w:rPr>
            </w:pPr>
          </w:p>
          <w:p>
            <w:pPr>
              <w:pStyle w:val="11"/>
              <w:ind w:left="108"/>
              <w:rPr>
                <w:rFonts w:hint="eastAsia" w:ascii="仿宋" w:eastAsia="仿宋"/>
                <w:b/>
                <w:sz w:val="24"/>
              </w:rPr>
            </w:pPr>
            <w:r>
              <w:rPr>
                <w:rFonts w:hint="eastAsia" w:ascii="仿宋" w:eastAsia="仿宋"/>
                <w:b/>
                <w:sz w:val="24"/>
              </w:rPr>
              <w:t>全国儿童青少年总体近视率</w:t>
            </w:r>
          </w:p>
          <w:p>
            <w:pPr>
              <w:pStyle w:val="11"/>
              <w:spacing w:before="5"/>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rPr>
                <w:rFonts w:ascii="宋体"/>
                <w:b/>
                <w:sz w:val="26"/>
              </w:rPr>
            </w:pPr>
          </w:p>
          <w:p>
            <w:pPr>
              <w:pStyle w:val="11"/>
              <w:spacing w:before="178"/>
              <w:ind w:left="16"/>
              <w:jc w:val="center"/>
              <w:rPr>
                <w:rFonts w:ascii="Times New Roman" w:hAnsi="Times New Roman"/>
                <w:sz w:val="24"/>
              </w:rPr>
            </w:pPr>
            <w:r>
              <w:rPr>
                <w:rFonts w:ascii="Times New Roman" w:hAnsi="Times New Roman"/>
                <w:sz w:val="24"/>
              </w:rPr>
              <w:t>—</w:t>
            </w:r>
          </w:p>
        </w:tc>
        <w:tc>
          <w:tcPr>
            <w:tcW w:w="851" w:type="dxa"/>
          </w:tcPr>
          <w:p>
            <w:pPr>
              <w:pStyle w:val="11"/>
              <w:spacing w:before="8" w:line="201" w:lineRule="auto"/>
              <w:ind w:left="108" w:right="99" w:firstLine="24"/>
              <w:jc w:val="center"/>
              <w:rPr>
                <w:rFonts w:hint="eastAsia" w:ascii="仿宋" w:eastAsia="仿宋"/>
                <w:sz w:val="24"/>
              </w:rPr>
            </w:pPr>
            <w:r>
              <w:rPr>
                <w:rFonts w:hint="eastAsia" w:ascii="仿宋" w:eastAsia="仿宋"/>
                <w:spacing w:val="-17"/>
                <w:w w:val="85"/>
                <w:sz w:val="24"/>
              </w:rPr>
              <w:t>力争每</w:t>
            </w:r>
            <w:r>
              <w:rPr>
                <w:rFonts w:hint="eastAsia" w:ascii="仿宋" w:eastAsia="仿宋"/>
                <w:spacing w:val="-11"/>
                <w:w w:val="85"/>
                <w:sz w:val="24"/>
              </w:rPr>
              <w:t>年降低</w:t>
            </w:r>
          </w:p>
          <w:p>
            <w:pPr>
              <w:pStyle w:val="11"/>
              <w:spacing w:line="248" w:lineRule="exact"/>
              <w:ind w:left="132" w:firstLine="50"/>
              <w:rPr>
                <w:rFonts w:hint="eastAsia" w:ascii="仿宋" w:eastAsia="仿宋"/>
                <w:sz w:val="24"/>
              </w:rPr>
            </w:pPr>
            <w:r>
              <w:rPr>
                <w:rFonts w:ascii="Times New Roman" w:eastAsia="Times New Roman"/>
                <w:sz w:val="24"/>
              </w:rPr>
              <w:t xml:space="preserve">0.5 </w:t>
            </w:r>
            <w:r>
              <w:rPr>
                <w:rFonts w:hint="eastAsia" w:ascii="仿宋" w:eastAsia="仿宋"/>
                <w:sz w:val="24"/>
              </w:rPr>
              <w:t>个</w:t>
            </w:r>
          </w:p>
          <w:p>
            <w:pPr>
              <w:pStyle w:val="11"/>
              <w:spacing w:before="9" w:line="260" w:lineRule="exact"/>
              <w:ind w:left="110" w:right="77"/>
              <w:jc w:val="center"/>
              <w:rPr>
                <w:rFonts w:hint="eastAsia" w:ascii="仿宋" w:eastAsia="仿宋"/>
                <w:sz w:val="24"/>
              </w:rPr>
            </w:pPr>
            <w:r>
              <w:rPr>
                <w:rFonts w:hint="eastAsia" w:ascii="仿宋" w:eastAsia="仿宋"/>
                <w:w w:val="85"/>
                <w:sz w:val="24"/>
              </w:rPr>
              <w:t>百分点</w:t>
            </w:r>
            <w:r>
              <w:rPr>
                <w:rFonts w:hint="eastAsia" w:ascii="仿宋" w:eastAsia="仿宋"/>
                <w:sz w:val="24"/>
              </w:rPr>
              <w:t>以上</w:t>
            </w:r>
          </w:p>
        </w:tc>
        <w:tc>
          <w:tcPr>
            <w:tcW w:w="851" w:type="dxa"/>
          </w:tcPr>
          <w:p>
            <w:pPr>
              <w:pStyle w:val="11"/>
              <w:spacing w:before="186" w:line="242" w:lineRule="auto"/>
              <w:ind w:left="133" w:right="98"/>
              <w:jc w:val="both"/>
              <w:rPr>
                <w:rFonts w:hint="eastAsia" w:ascii="仿宋" w:eastAsia="仿宋"/>
                <w:sz w:val="24"/>
              </w:rPr>
            </w:pPr>
            <w:r>
              <w:rPr>
                <w:rFonts w:hint="eastAsia" w:ascii="仿宋" w:eastAsia="仿宋"/>
                <w:spacing w:val="-17"/>
                <w:w w:val="85"/>
                <w:sz w:val="24"/>
              </w:rPr>
              <w:t>新发近视率明显下降</w:t>
            </w:r>
          </w:p>
        </w:tc>
        <w:tc>
          <w:tcPr>
            <w:tcW w:w="1050" w:type="dxa"/>
          </w:tcPr>
          <w:p>
            <w:pPr>
              <w:pStyle w:val="11"/>
              <w:rPr>
                <w:rFonts w:ascii="宋体"/>
                <w:b/>
                <w:sz w:val="24"/>
              </w:rPr>
            </w:pPr>
          </w:p>
          <w:p>
            <w:pPr>
              <w:pStyle w:val="11"/>
              <w:spacing w:before="188"/>
              <w:ind w:left="144" w:right="128"/>
              <w:jc w:val="center"/>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3" w:hRule="atLeast"/>
        </w:trPr>
        <w:tc>
          <w:tcPr>
            <w:tcW w:w="695" w:type="dxa"/>
            <w:vMerge w:val="continue"/>
            <w:tcBorders>
              <w:top w:val="nil"/>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个人和社会倡导性指标</w:t>
            </w:r>
          </w:p>
        </w:tc>
      </w:tr>
    </w:tbl>
    <w:p>
      <w:pPr>
        <w:spacing w:after="0"/>
        <w:rPr>
          <w:rFonts w:hint="eastAsia" w:ascii="黑体" w:eastAsia="黑体"/>
          <w:sz w:val="24"/>
        </w:rPr>
        <w:sectPr>
          <w:pgSz w:w="11910" w:h="16840"/>
          <w:pgMar w:top="1420" w:right="1140" w:bottom="1300" w:left="1400" w:header="0" w:footer="1120" w:gutter="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5"/>
              <w:rPr>
                <w:rFonts w:ascii="宋体"/>
                <w:b/>
                <w:sz w:val="28"/>
              </w:rPr>
            </w:pPr>
          </w:p>
          <w:p>
            <w:pPr>
              <w:pStyle w:val="11"/>
              <w:spacing w:line="242" w:lineRule="auto"/>
              <w:ind w:left="226" w:right="10" w:hanging="120"/>
              <w:rPr>
                <w:rFonts w:hint="eastAsia" w:ascii="黑体" w:eastAsia="黑体"/>
                <w:sz w:val="24"/>
              </w:rPr>
            </w:pPr>
            <w:r>
              <w:rPr>
                <w:rFonts w:hint="eastAsia" w:ascii="黑体" w:eastAsia="黑体"/>
                <w:w w:val="85"/>
                <w:sz w:val="21"/>
              </w:rPr>
              <w:t xml:space="preserve">（八） </w:t>
            </w:r>
            <w:r>
              <w:rPr>
                <w:rFonts w:hint="eastAsia" w:ascii="黑体" w:eastAsia="黑体"/>
                <w:sz w:val="24"/>
              </w:rPr>
              <w:t>中小学健康促进行动</w:t>
            </w:r>
          </w:p>
        </w:tc>
        <w:tc>
          <w:tcPr>
            <w:tcW w:w="693" w:type="dxa"/>
          </w:tcPr>
          <w:p>
            <w:pPr>
              <w:pStyle w:val="11"/>
              <w:spacing w:before="59"/>
              <w:ind w:left="225"/>
              <w:rPr>
                <w:rFonts w:ascii="Times New Roman"/>
                <w:sz w:val="24"/>
              </w:rPr>
            </w:pPr>
            <w:r>
              <w:rPr>
                <w:rFonts w:ascii="Times New Roman"/>
                <w:sz w:val="24"/>
              </w:rPr>
              <w:t>61</w:t>
            </w:r>
          </w:p>
        </w:tc>
        <w:tc>
          <w:tcPr>
            <w:tcW w:w="6442" w:type="dxa"/>
            <w:gridSpan w:val="4"/>
          </w:tcPr>
          <w:p>
            <w:pPr>
              <w:pStyle w:val="11"/>
              <w:spacing w:before="43"/>
              <w:ind w:left="108"/>
              <w:rPr>
                <w:rFonts w:hint="eastAsia" w:ascii="仿宋" w:eastAsia="仿宋"/>
                <w:b/>
                <w:sz w:val="24"/>
              </w:rPr>
            </w:pPr>
            <w:r>
              <w:rPr>
                <w:rFonts w:hint="eastAsia" w:ascii="仿宋" w:eastAsia="仿宋"/>
                <w:b/>
                <w:sz w:val="24"/>
              </w:rPr>
              <w:t xml:space="preserve">中小学生每天在校外接触自然光时间 </w:t>
            </w:r>
            <w:r>
              <w:rPr>
                <w:rFonts w:ascii="Times New Roman" w:eastAsia="Times New Roman"/>
                <w:b/>
                <w:sz w:val="24"/>
              </w:rPr>
              <w:t xml:space="preserve">1 </w:t>
            </w:r>
            <w:r>
              <w:rPr>
                <w:rFonts w:hint="eastAsia" w:ascii="仿宋" w:eastAsia="仿宋"/>
                <w:b/>
                <w:sz w:val="24"/>
              </w:rPr>
              <w:t>小时以上</w:t>
            </w:r>
          </w:p>
        </w:tc>
        <w:tc>
          <w:tcPr>
            <w:tcW w:w="1050" w:type="dxa"/>
          </w:tcPr>
          <w:p>
            <w:pPr>
              <w:pStyle w:val="11"/>
              <w:spacing w:before="43"/>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0" w:hRule="atLeast"/>
        </w:trPr>
        <w:tc>
          <w:tcPr>
            <w:tcW w:w="695" w:type="dxa"/>
            <w:vMerge w:val="continue"/>
            <w:tcBorders>
              <w:top w:val="nil"/>
            </w:tcBorders>
          </w:tcPr>
          <w:p>
            <w:pPr>
              <w:rPr>
                <w:sz w:val="2"/>
                <w:szCs w:val="2"/>
              </w:rPr>
            </w:pPr>
          </w:p>
        </w:tc>
        <w:tc>
          <w:tcPr>
            <w:tcW w:w="693" w:type="dxa"/>
          </w:tcPr>
          <w:p>
            <w:pPr>
              <w:pStyle w:val="11"/>
              <w:spacing w:before="141"/>
              <w:ind w:left="225"/>
              <w:rPr>
                <w:rFonts w:ascii="Times New Roman"/>
                <w:sz w:val="24"/>
              </w:rPr>
            </w:pPr>
            <w:r>
              <w:rPr>
                <w:rFonts w:ascii="Times New Roman"/>
                <w:sz w:val="24"/>
              </w:rPr>
              <w:t>62</w:t>
            </w:r>
          </w:p>
        </w:tc>
        <w:tc>
          <w:tcPr>
            <w:tcW w:w="6442" w:type="dxa"/>
            <w:gridSpan w:val="4"/>
          </w:tcPr>
          <w:p>
            <w:pPr>
              <w:pStyle w:val="11"/>
              <w:spacing w:line="279" w:lineRule="exact"/>
              <w:ind w:left="108"/>
              <w:rPr>
                <w:rFonts w:ascii="Times New Roman" w:eastAsia="Times New Roman"/>
                <w:b/>
                <w:sz w:val="24"/>
              </w:rPr>
            </w:pPr>
            <w:r>
              <w:rPr>
                <w:rFonts w:hint="eastAsia" w:ascii="仿宋" w:eastAsia="仿宋"/>
                <w:b/>
                <w:spacing w:val="-11"/>
                <w:sz w:val="24"/>
              </w:rPr>
              <w:t xml:space="preserve">小学生、初中生、高中生每天睡眠时间分别不少于 </w:t>
            </w:r>
            <w:r>
              <w:rPr>
                <w:rFonts w:ascii="Times New Roman" w:eastAsia="Times New Roman"/>
                <w:b/>
                <w:sz w:val="24"/>
              </w:rPr>
              <w:t>10</w:t>
            </w:r>
            <w:r>
              <w:rPr>
                <w:rFonts w:hint="eastAsia" w:ascii="仿宋" w:eastAsia="仿宋"/>
                <w:b/>
                <w:spacing w:val="-22"/>
                <w:sz w:val="24"/>
              </w:rPr>
              <w:t>、</w:t>
            </w:r>
            <w:r>
              <w:rPr>
                <w:rFonts w:ascii="Times New Roman" w:eastAsia="Times New Roman"/>
                <w:b/>
                <w:sz w:val="24"/>
              </w:rPr>
              <w:t>9</w:t>
            </w:r>
            <w:r>
              <w:rPr>
                <w:rFonts w:hint="eastAsia" w:ascii="仿宋" w:eastAsia="仿宋"/>
                <w:b/>
                <w:spacing w:val="-22"/>
                <w:sz w:val="24"/>
              </w:rPr>
              <w:t>、</w:t>
            </w:r>
            <w:r>
              <w:rPr>
                <w:rFonts w:ascii="Times New Roman" w:eastAsia="Times New Roman"/>
                <w:b/>
                <w:sz w:val="24"/>
              </w:rPr>
              <w:t>8</w:t>
            </w:r>
          </w:p>
          <w:p>
            <w:pPr>
              <w:pStyle w:val="11"/>
              <w:spacing w:line="261" w:lineRule="exact"/>
              <w:ind w:left="108"/>
              <w:rPr>
                <w:rFonts w:hint="eastAsia" w:ascii="仿宋" w:eastAsia="仿宋"/>
                <w:b/>
                <w:sz w:val="24"/>
              </w:rPr>
            </w:pPr>
            <w:r>
              <w:rPr>
                <w:rFonts w:hint="eastAsia" w:ascii="仿宋" w:eastAsia="仿宋"/>
                <w:b/>
                <w:sz w:val="24"/>
              </w:rPr>
              <w:t>个小时</w:t>
            </w:r>
          </w:p>
        </w:tc>
        <w:tc>
          <w:tcPr>
            <w:tcW w:w="1050" w:type="dxa"/>
          </w:tcPr>
          <w:p>
            <w:pPr>
              <w:pStyle w:val="11"/>
              <w:spacing w:before="125"/>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0" w:hRule="atLeast"/>
        </w:trPr>
        <w:tc>
          <w:tcPr>
            <w:tcW w:w="695" w:type="dxa"/>
            <w:vMerge w:val="continue"/>
            <w:tcBorders>
              <w:top w:val="nil"/>
            </w:tcBorders>
          </w:tcPr>
          <w:p>
            <w:pPr>
              <w:rPr>
                <w:sz w:val="2"/>
                <w:szCs w:val="2"/>
              </w:rPr>
            </w:pPr>
          </w:p>
        </w:tc>
        <w:tc>
          <w:tcPr>
            <w:tcW w:w="693" w:type="dxa"/>
          </w:tcPr>
          <w:p>
            <w:pPr>
              <w:pStyle w:val="11"/>
              <w:spacing w:before="140"/>
              <w:ind w:left="225"/>
              <w:rPr>
                <w:rFonts w:ascii="Times New Roman"/>
                <w:sz w:val="24"/>
              </w:rPr>
            </w:pPr>
            <w:r>
              <w:rPr>
                <w:rFonts w:ascii="Times New Roman"/>
                <w:sz w:val="24"/>
              </w:rPr>
              <w:t>63</w:t>
            </w:r>
          </w:p>
        </w:tc>
        <w:tc>
          <w:tcPr>
            <w:tcW w:w="6442" w:type="dxa"/>
            <w:gridSpan w:val="4"/>
          </w:tcPr>
          <w:p>
            <w:pPr>
              <w:pStyle w:val="11"/>
              <w:spacing w:line="279" w:lineRule="exact"/>
              <w:ind w:left="108"/>
              <w:rPr>
                <w:rFonts w:hint="eastAsia" w:ascii="仿宋" w:eastAsia="仿宋"/>
                <w:b/>
                <w:sz w:val="24"/>
              </w:rPr>
            </w:pPr>
            <w:r>
              <w:rPr>
                <w:rFonts w:hint="eastAsia" w:ascii="仿宋" w:eastAsia="仿宋"/>
                <w:b/>
                <w:sz w:val="24"/>
              </w:rPr>
              <w:t xml:space="preserve">中小学生非学习目的使用电子屏幕产品单次不宜超过 </w:t>
            </w:r>
            <w:r>
              <w:rPr>
                <w:rFonts w:ascii="Times New Roman" w:eastAsia="Times New Roman"/>
                <w:b/>
                <w:sz w:val="24"/>
              </w:rPr>
              <w:t xml:space="preserve">15 </w:t>
            </w:r>
            <w:r>
              <w:rPr>
                <w:rFonts w:hint="eastAsia" w:ascii="仿宋" w:eastAsia="仿宋"/>
                <w:b/>
                <w:sz w:val="24"/>
              </w:rPr>
              <w:t>分</w:t>
            </w:r>
          </w:p>
          <w:p>
            <w:pPr>
              <w:pStyle w:val="11"/>
              <w:spacing w:line="261" w:lineRule="exact"/>
              <w:ind w:left="108"/>
              <w:rPr>
                <w:rFonts w:hint="eastAsia" w:ascii="仿宋" w:eastAsia="仿宋"/>
                <w:b/>
                <w:sz w:val="24"/>
              </w:rPr>
            </w:pPr>
            <w:r>
              <w:rPr>
                <w:rFonts w:hint="eastAsia" w:ascii="仿宋" w:eastAsia="仿宋"/>
                <w:b/>
                <w:sz w:val="24"/>
              </w:rPr>
              <w:t xml:space="preserve">钟，每天累计不宜超过 </w:t>
            </w:r>
            <w:r>
              <w:rPr>
                <w:rFonts w:ascii="Times New Roman" w:eastAsia="Times New Roman"/>
                <w:b/>
                <w:sz w:val="24"/>
              </w:rPr>
              <w:t xml:space="preserve">1 </w:t>
            </w:r>
            <w:r>
              <w:rPr>
                <w:rFonts w:hint="eastAsia" w:ascii="仿宋" w:eastAsia="仿宋"/>
                <w:b/>
                <w:sz w:val="24"/>
              </w:rPr>
              <w:t>小时</w:t>
            </w:r>
          </w:p>
        </w:tc>
        <w:tc>
          <w:tcPr>
            <w:tcW w:w="1050" w:type="dxa"/>
          </w:tcPr>
          <w:p>
            <w:pPr>
              <w:pStyle w:val="11"/>
              <w:spacing w:before="126"/>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0" w:hRule="atLeast"/>
        </w:trPr>
        <w:tc>
          <w:tcPr>
            <w:tcW w:w="695" w:type="dxa"/>
            <w:vMerge w:val="continue"/>
            <w:tcBorders>
              <w:top w:val="nil"/>
            </w:tcBorders>
          </w:tcPr>
          <w:p>
            <w:pPr>
              <w:rPr>
                <w:sz w:val="2"/>
                <w:szCs w:val="2"/>
              </w:rPr>
            </w:pPr>
          </w:p>
        </w:tc>
        <w:tc>
          <w:tcPr>
            <w:tcW w:w="693" w:type="dxa"/>
          </w:tcPr>
          <w:p>
            <w:pPr>
              <w:pStyle w:val="11"/>
              <w:spacing w:before="141"/>
              <w:ind w:left="225"/>
              <w:rPr>
                <w:rFonts w:ascii="Times New Roman"/>
                <w:sz w:val="24"/>
              </w:rPr>
            </w:pPr>
            <w:r>
              <w:rPr>
                <w:rFonts w:ascii="Times New Roman"/>
                <w:sz w:val="24"/>
              </w:rPr>
              <w:t>64</w:t>
            </w:r>
          </w:p>
        </w:tc>
        <w:tc>
          <w:tcPr>
            <w:tcW w:w="6442" w:type="dxa"/>
            <w:gridSpan w:val="4"/>
          </w:tcPr>
          <w:p>
            <w:pPr>
              <w:pStyle w:val="11"/>
              <w:spacing w:before="3" w:line="278" w:lineRule="exact"/>
              <w:ind w:left="108" w:right="27"/>
              <w:rPr>
                <w:rFonts w:hint="eastAsia" w:ascii="仿宋" w:eastAsia="仿宋"/>
                <w:b/>
                <w:sz w:val="24"/>
              </w:rPr>
            </w:pPr>
            <w:r>
              <w:rPr>
                <w:rFonts w:hint="eastAsia" w:ascii="仿宋" w:eastAsia="仿宋"/>
                <w:b/>
                <w:sz w:val="24"/>
              </w:rPr>
              <w:t>学校鼓励引导学生达到《国家学生体质健康标准》良好及以上水平</w:t>
            </w:r>
          </w:p>
        </w:tc>
        <w:tc>
          <w:tcPr>
            <w:tcW w:w="1050" w:type="dxa"/>
          </w:tcPr>
          <w:p>
            <w:pPr>
              <w:pStyle w:val="11"/>
              <w:spacing w:before="125"/>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4"/>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9" w:hRule="atLeast"/>
        </w:trPr>
        <w:tc>
          <w:tcPr>
            <w:tcW w:w="695" w:type="dxa"/>
            <w:vMerge w:val="continue"/>
            <w:tcBorders>
              <w:top w:val="nil"/>
            </w:tcBorders>
          </w:tcPr>
          <w:p>
            <w:pPr>
              <w:rPr>
                <w:sz w:val="2"/>
                <w:szCs w:val="2"/>
              </w:rPr>
            </w:pPr>
          </w:p>
        </w:tc>
        <w:tc>
          <w:tcPr>
            <w:tcW w:w="693" w:type="dxa"/>
          </w:tcPr>
          <w:p>
            <w:pPr>
              <w:pStyle w:val="11"/>
              <w:spacing w:before="140"/>
              <w:ind w:left="225"/>
              <w:rPr>
                <w:rFonts w:ascii="Times New Roman"/>
                <w:sz w:val="24"/>
              </w:rPr>
            </w:pPr>
            <w:r>
              <w:rPr>
                <w:rFonts w:ascii="Times New Roman"/>
                <w:sz w:val="24"/>
              </w:rPr>
              <w:t>65</w:t>
            </w:r>
          </w:p>
        </w:tc>
        <w:tc>
          <w:tcPr>
            <w:tcW w:w="3458" w:type="dxa"/>
          </w:tcPr>
          <w:p>
            <w:pPr>
              <w:pStyle w:val="11"/>
              <w:spacing w:before="1" w:line="280" w:lineRule="exact"/>
              <w:ind w:left="108" w:right="78"/>
              <w:rPr>
                <w:rFonts w:hint="eastAsia" w:ascii="仿宋" w:eastAsia="仿宋"/>
                <w:b/>
                <w:sz w:val="24"/>
              </w:rPr>
            </w:pPr>
            <w:r>
              <w:rPr>
                <w:rFonts w:hint="eastAsia" w:ascii="仿宋" w:eastAsia="仿宋"/>
                <w:b/>
                <w:sz w:val="24"/>
              </w:rPr>
              <w:t>符合要求的中小学体育与健康课程开课率（</w:t>
            </w:r>
            <w:r>
              <w:rPr>
                <w:rFonts w:ascii="Times New Roman" w:eastAsia="Times New Roman"/>
                <w:b/>
                <w:sz w:val="24"/>
              </w:rPr>
              <w:t>%</w:t>
            </w:r>
            <w:r>
              <w:rPr>
                <w:rFonts w:hint="eastAsia" w:ascii="仿宋" w:eastAsia="仿宋"/>
                <w:b/>
                <w:sz w:val="24"/>
              </w:rPr>
              <w:t>）</w:t>
            </w:r>
          </w:p>
        </w:tc>
        <w:tc>
          <w:tcPr>
            <w:tcW w:w="1282" w:type="dxa"/>
          </w:tcPr>
          <w:p>
            <w:pPr>
              <w:pStyle w:val="11"/>
              <w:spacing w:before="140"/>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140"/>
              <w:ind w:left="551" w:right="539"/>
              <w:jc w:val="center"/>
              <w:rPr>
                <w:rFonts w:ascii="Times New Roman"/>
                <w:sz w:val="24"/>
              </w:rPr>
            </w:pPr>
            <w:r>
              <w:rPr>
                <w:rFonts w:ascii="Times New Roman"/>
                <w:sz w:val="24"/>
              </w:rPr>
              <w:t>100</w:t>
            </w:r>
          </w:p>
        </w:tc>
        <w:tc>
          <w:tcPr>
            <w:tcW w:w="1050" w:type="dxa"/>
          </w:tcPr>
          <w:p>
            <w:pPr>
              <w:pStyle w:val="11"/>
              <w:spacing w:before="124"/>
              <w:ind w:left="144" w:right="128"/>
              <w:jc w:val="center"/>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9" w:hRule="atLeast"/>
        </w:trPr>
        <w:tc>
          <w:tcPr>
            <w:tcW w:w="695" w:type="dxa"/>
            <w:vMerge w:val="continue"/>
            <w:tcBorders>
              <w:top w:val="nil"/>
            </w:tcBorders>
          </w:tcPr>
          <w:p>
            <w:pPr>
              <w:rPr>
                <w:sz w:val="2"/>
                <w:szCs w:val="2"/>
              </w:rPr>
            </w:pPr>
          </w:p>
        </w:tc>
        <w:tc>
          <w:tcPr>
            <w:tcW w:w="693" w:type="dxa"/>
          </w:tcPr>
          <w:p>
            <w:pPr>
              <w:pStyle w:val="11"/>
              <w:spacing w:before="140"/>
              <w:ind w:left="225"/>
              <w:rPr>
                <w:rFonts w:ascii="Times New Roman"/>
                <w:sz w:val="24"/>
              </w:rPr>
            </w:pPr>
            <w:r>
              <w:rPr>
                <w:rFonts w:ascii="Times New Roman"/>
                <w:sz w:val="24"/>
              </w:rPr>
              <w:t>66</w:t>
            </w:r>
          </w:p>
        </w:tc>
        <w:tc>
          <w:tcPr>
            <w:tcW w:w="3458" w:type="dxa"/>
          </w:tcPr>
          <w:p>
            <w:pPr>
              <w:pStyle w:val="11"/>
              <w:spacing w:before="2" w:line="278" w:lineRule="exact"/>
              <w:ind w:left="108" w:right="78"/>
              <w:rPr>
                <w:rFonts w:hint="eastAsia" w:ascii="仿宋" w:eastAsia="仿宋"/>
                <w:b/>
                <w:sz w:val="24"/>
              </w:rPr>
            </w:pPr>
            <w:r>
              <w:rPr>
                <w:rFonts w:hint="eastAsia" w:ascii="仿宋" w:eastAsia="仿宋"/>
                <w:b/>
                <w:sz w:val="24"/>
              </w:rPr>
              <w:t>中小学生每天校内体育活动时间（小时）</w:t>
            </w:r>
          </w:p>
        </w:tc>
        <w:tc>
          <w:tcPr>
            <w:tcW w:w="1282" w:type="dxa"/>
          </w:tcPr>
          <w:p>
            <w:pPr>
              <w:pStyle w:val="11"/>
              <w:spacing w:before="140"/>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140"/>
              <w:ind w:left="551" w:right="539"/>
              <w:jc w:val="center"/>
              <w:rPr>
                <w:rFonts w:ascii="Times New Roman" w:hAnsi="Times New Roman"/>
                <w:sz w:val="24"/>
              </w:rPr>
            </w:pPr>
            <w:r>
              <w:rPr>
                <w:rFonts w:ascii="Times New Roman" w:hAnsi="Times New Roman"/>
                <w:sz w:val="24"/>
              </w:rPr>
              <w:t>≥1</w:t>
            </w:r>
          </w:p>
        </w:tc>
        <w:tc>
          <w:tcPr>
            <w:tcW w:w="1050" w:type="dxa"/>
          </w:tcPr>
          <w:p>
            <w:pPr>
              <w:pStyle w:val="11"/>
              <w:spacing w:before="124"/>
              <w:ind w:left="144" w:right="128"/>
              <w:jc w:val="center"/>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tcPr>
          <w:p>
            <w:pPr>
              <w:pStyle w:val="11"/>
              <w:spacing w:before="58"/>
              <w:ind w:left="225"/>
              <w:rPr>
                <w:rFonts w:ascii="Times New Roman"/>
                <w:sz w:val="24"/>
              </w:rPr>
            </w:pPr>
            <w:r>
              <w:rPr>
                <w:rFonts w:ascii="Times New Roman"/>
                <w:sz w:val="24"/>
              </w:rPr>
              <w:t>67</w:t>
            </w:r>
          </w:p>
        </w:tc>
        <w:tc>
          <w:tcPr>
            <w:tcW w:w="3458" w:type="dxa"/>
          </w:tcPr>
          <w:p>
            <w:pPr>
              <w:pStyle w:val="11"/>
              <w:spacing w:before="42"/>
              <w:ind w:left="108"/>
              <w:rPr>
                <w:rFonts w:hint="eastAsia" w:ascii="仿宋" w:eastAsia="仿宋"/>
                <w:b/>
                <w:sz w:val="24"/>
              </w:rPr>
            </w:pPr>
            <w:r>
              <w:rPr>
                <w:rFonts w:hint="eastAsia" w:ascii="仿宋" w:eastAsia="仿宋"/>
                <w:b/>
                <w:sz w:val="24"/>
              </w:rPr>
              <w:t>学校眼保健操普及率（</w:t>
            </w:r>
            <w:r>
              <w:rPr>
                <w:rFonts w:ascii="Times New Roman" w:eastAsia="Times New Roman"/>
                <w:b/>
                <w:sz w:val="24"/>
              </w:rPr>
              <w:t>%</w:t>
            </w:r>
            <w:r>
              <w:rPr>
                <w:rFonts w:hint="eastAsia" w:ascii="仿宋" w:eastAsia="仿宋"/>
                <w:b/>
                <w:sz w:val="24"/>
              </w:rPr>
              <w:t>）</w:t>
            </w:r>
          </w:p>
        </w:tc>
        <w:tc>
          <w:tcPr>
            <w:tcW w:w="1282" w:type="dxa"/>
          </w:tcPr>
          <w:p>
            <w:pPr>
              <w:pStyle w:val="11"/>
              <w:spacing w:before="42"/>
              <w:ind w:left="89" w:right="76"/>
              <w:jc w:val="center"/>
              <w:rPr>
                <w:rFonts w:ascii="Times New Roman" w:eastAsia="Times New Roman"/>
                <w:sz w:val="24"/>
              </w:rPr>
            </w:pPr>
            <w:r>
              <w:rPr>
                <w:rFonts w:hint="eastAsia" w:ascii="仿宋" w:eastAsia="仿宋"/>
                <w:sz w:val="24"/>
              </w:rPr>
              <w:t xml:space="preserve">接近 </w:t>
            </w:r>
            <w:r>
              <w:rPr>
                <w:rFonts w:ascii="Times New Roman" w:eastAsia="Times New Roman"/>
                <w:sz w:val="24"/>
              </w:rPr>
              <w:t>100</w:t>
            </w:r>
          </w:p>
        </w:tc>
        <w:tc>
          <w:tcPr>
            <w:tcW w:w="1702" w:type="dxa"/>
            <w:gridSpan w:val="2"/>
          </w:tcPr>
          <w:p>
            <w:pPr>
              <w:pStyle w:val="11"/>
              <w:spacing w:before="58"/>
              <w:ind w:left="551" w:right="539"/>
              <w:jc w:val="center"/>
              <w:rPr>
                <w:rFonts w:ascii="Times New Roman"/>
                <w:sz w:val="24"/>
              </w:rPr>
            </w:pPr>
            <w:r>
              <w:rPr>
                <w:rFonts w:ascii="Times New Roman"/>
                <w:sz w:val="24"/>
              </w:rPr>
              <w:t>100</w:t>
            </w:r>
          </w:p>
        </w:tc>
        <w:tc>
          <w:tcPr>
            <w:tcW w:w="1050" w:type="dxa"/>
          </w:tcPr>
          <w:p>
            <w:pPr>
              <w:pStyle w:val="11"/>
              <w:spacing w:before="42"/>
              <w:ind w:left="144" w:right="128"/>
              <w:jc w:val="center"/>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79" w:hRule="atLeast"/>
        </w:trPr>
        <w:tc>
          <w:tcPr>
            <w:tcW w:w="695" w:type="dxa"/>
            <w:vMerge w:val="continue"/>
            <w:tcBorders>
              <w:top w:val="nil"/>
            </w:tcBorders>
          </w:tcPr>
          <w:p>
            <w:pPr>
              <w:rPr>
                <w:sz w:val="2"/>
                <w:szCs w:val="2"/>
              </w:rPr>
            </w:pPr>
          </w:p>
        </w:tc>
        <w:tc>
          <w:tcPr>
            <w:tcW w:w="693" w:type="dxa"/>
          </w:tcPr>
          <w:p>
            <w:pPr>
              <w:pStyle w:val="11"/>
              <w:rPr>
                <w:rFonts w:ascii="宋体"/>
                <w:b/>
                <w:sz w:val="26"/>
              </w:rPr>
            </w:pPr>
          </w:p>
          <w:p>
            <w:pPr>
              <w:pStyle w:val="11"/>
              <w:spacing w:before="7"/>
              <w:rPr>
                <w:rFonts w:ascii="宋体"/>
                <w:b/>
                <w:sz w:val="28"/>
              </w:rPr>
            </w:pPr>
          </w:p>
          <w:p>
            <w:pPr>
              <w:pStyle w:val="11"/>
              <w:spacing w:before="1"/>
              <w:ind w:left="225"/>
              <w:rPr>
                <w:rFonts w:ascii="Times New Roman"/>
                <w:sz w:val="24"/>
              </w:rPr>
            </w:pPr>
            <w:r>
              <w:rPr>
                <w:rFonts w:ascii="Times New Roman"/>
                <w:sz w:val="24"/>
              </w:rPr>
              <w:t>68</w:t>
            </w:r>
          </w:p>
        </w:tc>
        <w:tc>
          <w:tcPr>
            <w:tcW w:w="3458" w:type="dxa"/>
          </w:tcPr>
          <w:p>
            <w:pPr>
              <w:pStyle w:val="11"/>
              <w:spacing w:before="7" w:line="218" w:lineRule="auto"/>
              <w:ind w:left="108" w:right="78"/>
              <w:jc w:val="both"/>
              <w:rPr>
                <w:rFonts w:hint="eastAsia" w:ascii="仿宋" w:eastAsia="仿宋"/>
                <w:b/>
                <w:sz w:val="24"/>
              </w:rPr>
            </w:pPr>
            <w:r>
              <w:rPr>
                <w:rFonts w:hint="eastAsia" w:ascii="仿宋" w:eastAsia="仿宋"/>
                <w:b/>
                <w:spacing w:val="2"/>
                <w:sz w:val="24"/>
              </w:rPr>
              <w:t xml:space="preserve">寄宿制中小学校或 </w:t>
            </w:r>
            <w:r>
              <w:rPr>
                <w:rFonts w:ascii="Times New Roman" w:eastAsia="Times New Roman"/>
                <w:b/>
                <w:sz w:val="24"/>
              </w:rPr>
              <w:t xml:space="preserve">600 </w:t>
            </w:r>
            <w:r>
              <w:rPr>
                <w:rFonts w:hint="eastAsia" w:ascii="仿宋" w:eastAsia="仿宋"/>
                <w:b/>
                <w:spacing w:val="4"/>
                <w:sz w:val="24"/>
              </w:rPr>
              <w:t>名学生</w:t>
            </w:r>
            <w:r>
              <w:rPr>
                <w:rFonts w:hint="eastAsia" w:ascii="仿宋" w:eastAsia="仿宋"/>
                <w:b/>
                <w:spacing w:val="7"/>
                <w:sz w:val="24"/>
              </w:rPr>
              <w:t>以上的非寄宿制中小学校配备</w:t>
            </w:r>
            <w:r>
              <w:rPr>
                <w:rFonts w:hint="eastAsia" w:ascii="仿宋" w:eastAsia="仿宋"/>
                <w:b/>
                <w:spacing w:val="-7"/>
                <w:sz w:val="24"/>
              </w:rPr>
              <w:t>专职卫生专业技术人员、</w:t>
            </w:r>
            <w:r>
              <w:rPr>
                <w:rFonts w:ascii="Times New Roman" w:eastAsia="Times New Roman"/>
                <w:b/>
                <w:sz w:val="24"/>
              </w:rPr>
              <w:t xml:space="preserve">600 </w:t>
            </w:r>
            <w:r>
              <w:rPr>
                <w:rFonts w:hint="eastAsia" w:ascii="仿宋" w:eastAsia="仿宋"/>
                <w:b/>
                <w:spacing w:val="-11"/>
                <w:sz w:val="24"/>
              </w:rPr>
              <w:t>名</w:t>
            </w:r>
            <w:r>
              <w:rPr>
                <w:rFonts w:hint="eastAsia" w:ascii="仿宋" w:eastAsia="仿宋"/>
                <w:b/>
                <w:spacing w:val="7"/>
                <w:sz w:val="24"/>
              </w:rPr>
              <w:t>学生以下的非寄宿制中小学校配备专兼职保健教师或卫生专</w:t>
            </w:r>
          </w:p>
          <w:p>
            <w:pPr>
              <w:pStyle w:val="11"/>
              <w:spacing w:line="254" w:lineRule="exact"/>
              <w:ind w:left="108"/>
              <w:rPr>
                <w:rFonts w:hint="eastAsia" w:ascii="仿宋" w:eastAsia="仿宋"/>
                <w:b/>
                <w:sz w:val="24"/>
              </w:rPr>
            </w:pPr>
            <w:r>
              <w:rPr>
                <w:rFonts w:hint="eastAsia" w:ascii="仿宋" w:eastAsia="仿宋"/>
                <w:b/>
                <w:sz w:val="24"/>
              </w:rPr>
              <w:t>业技术人员的比例（</w:t>
            </w:r>
            <w:r>
              <w:rPr>
                <w:rFonts w:ascii="Times New Roman" w:eastAsia="Times New Roman"/>
                <w:b/>
                <w:sz w:val="24"/>
              </w:rPr>
              <w:t>%</w:t>
            </w:r>
            <w:r>
              <w:rPr>
                <w:rFonts w:hint="eastAsia" w:ascii="仿宋" w:eastAsia="仿宋"/>
                <w:b/>
                <w:sz w:val="24"/>
              </w:rPr>
              <w:t>）</w:t>
            </w:r>
          </w:p>
        </w:tc>
        <w:tc>
          <w:tcPr>
            <w:tcW w:w="1282" w:type="dxa"/>
          </w:tcPr>
          <w:p>
            <w:pPr>
              <w:pStyle w:val="11"/>
              <w:rPr>
                <w:rFonts w:ascii="宋体"/>
                <w:b/>
                <w:sz w:val="26"/>
              </w:rPr>
            </w:pPr>
          </w:p>
          <w:p>
            <w:pPr>
              <w:pStyle w:val="11"/>
              <w:spacing w:before="7"/>
              <w:rPr>
                <w:rFonts w:ascii="宋体"/>
                <w:b/>
                <w:sz w:val="28"/>
              </w:rPr>
            </w:pPr>
          </w:p>
          <w:p>
            <w:pPr>
              <w:pStyle w:val="11"/>
              <w:spacing w:before="1"/>
              <w:ind w:left="16"/>
              <w:jc w:val="center"/>
              <w:rPr>
                <w:rFonts w:ascii="Times New Roman" w:hAnsi="Times New Roman"/>
                <w:sz w:val="24"/>
              </w:rPr>
            </w:pPr>
            <w:r>
              <w:rPr>
                <w:rFonts w:ascii="Times New Roman" w:hAnsi="Times New Roman"/>
                <w:sz w:val="24"/>
              </w:rPr>
              <w:t>—</w:t>
            </w:r>
          </w:p>
        </w:tc>
        <w:tc>
          <w:tcPr>
            <w:tcW w:w="851" w:type="dxa"/>
          </w:tcPr>
          <w:p>
            <w:pPr>
              <w:pStyle w:val="11"/>
              <w:rPr>
                <w:rFonts w:ascii="宋体"/>
                <w:b/>
                <w:sz w:val="26"/>
              </w:rPr>
            </w:pPr>
          </w:p>
          <w:p>
            <w:pPr>
              <w:pStyle w:val="11"/>
              <w:spacing w:before="7"/>
              <w:rPr>
                <w:rFonts w:ascii="宋体"/>
                <w:b/>
                <w:sz w:val="28"/>
              </w:rPr>
            </w:pPr>
          </w:p>
          <w:p>
            <w:pPr>
              <w:pStyle w:val="11"/>
              <w:spacing w:before="1"/>
              <w:ind w:left="66" w:right="52"/>
              <w:jc w:val="center"/>
              <w:rPr>
                <w:rFonts w:ascii="Times New Roman" w:hAnsi="Times New Roman"/>
                <w:sz w:val="24"/>
              </w:rPr>
            </w:pPr>
            <w:r>
              <w:rPr>
                <w:rFonts w:ascii="Times New Roman" w:hAnsi="Times New Roman"/>
                <w:sz w:val="24"/>
              </w:rPr>
              <w:t>≥70</w:t>
            </w:r>
          </w:p>
        </w:tc>
        <w:tc>
          <w:tcPr>
            <w:tcW w:w="851" w:type="dxa"/>
          </w:tcPr>
          <w:p>
            <w:pPr>
              <w:pStyle w:val="11"/>
              <w:rPr>
                <w:rFonts w:ascii="宋体"/>
                <w:b/>
                <w:sz w:val="26"/>
              </w:rPr>
            </w:pPr>
          </w:p>
          <w:p>
            <w:pPr>
              <w:pStyle w:val="11"/>
              <w:spacing w:before="7"/>
              <w:rPr>
                <w:rFonts w:ascii="宋体"/>
                <w:b/>
                <w:sz w:val="28"/>
              </w:rPr>
            </w:pPr>
          </w:p>
          <w:p>
            <w:pPr>
              <w:pStyle w:val="11"/>
              <w:spacing w:before="1"/>
              <w:ind w:left="66" w:right="53"/>
              <w:jc w:val="center"/>
              <w:rPr>
                <w:rFonts w:ascii="Times New Roman" w:hAnsi="Times New Roman"/>
                <w:sz w:val="24"/>
              </w:rPr>
            </w:pPr>
            <w:r>
              <w:rPr>
                <w:rFonts w:ascii="Times New Roman" w:hAnsi="Times New Roman"/>
                <w:sz w:val="24"/>
              </w:rPr>
              <w:t>≥90</w:t>
            </w:r>
          </w:p>
        </w:tc>
        <w:tc>
          <w:tcPr>
            <w:tcW w:w="1050" w:type="dxa"/>
          </w:tcPr>
          <w:p>
            <w:pPr>
              <w:pStyle w:val="11"/>
              <w:rPr>
                <w:rFonts w:ascii="宋体"/>
                <w:b/>
                <w:sz w:val="24"/>
              </w:rPr>
            </w:pPr>
          </w:p>
          <w:p>
            <w:pPr>
              <w:pStyle w:val="11"/>
              <w:spacing w:before="7"/>
              <w:rPr>
                <w:rFonts w:ascii="宋体"/>
                <w:b/>
                <w:sz w:val="29"/>
              </w:rPr>
            </w:pPr>
          </w:p>
          <w:p>
            <w:pPr>
              <w:pStyle w:val="11"/>
              <w:ind w:left="144" w:right="128"/>
              <w:jc w:val="center"/>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0" w:hRule="atLeast"/>
        </w:trPr>
        <w:tc>
          <w:tcPr>
            <w:tcW w:w="695" w:type="dxa"/>
            <w:vMerge w:val="continue"/>
            <w:tcBorders>
              <w:top w:val="nil"/>
            </w:tcBorders>
          </w:tcPr>
          <w:p>
            <w:pPr>
              <w:rPr>
                <w:sz w:val="2"/>
                <w:szCs w:val="2"/>
              </w:rPr>
            </w:pPr>
          </w:p>
        </w:tc>
        <w:tc>
          <w:tcPr>
            <w:tcW w:w="693" w:type="dxa"/>
          </w:tcPr>
          <w:p>
            <w:pPr>
              <w:pStyle w:val="11"/>
              <w:spacing w:before="140"/>
              <w:ind w:left="225"/>
              <w:rPr>
                <w:rFonts w:ascii="Times New Roman"/>
                <w:sz w:val="24"/>
              </w:rPr>
            </w:pPr>
            <w:r>
              <w:rPr>
                <w:rFonts w:ascii="Times New Roman"/>
                <w:sz w:val="24"/>
              </w:rPr>
              <w:t>69</w:t>
            </w:r>
          </w:p>
        </w:tc>
        <w:tc>
          <w:tcPr>
            <w:tcW w:w="3458" w:type="dxa"/>
          </w:tcPr>
          <w:p>
            <w:pPr>
              <w:pStyle w:val="11"/>
              <w:spacing w:before="1" w:line="280" w:lineRule="exact"/>
              <w:ind w:left="108" w:right="78"/>
              <w:rPr>
                <w:rFonts w:hint="eastAsia" w:ascii="仿宋" w:eastAsia="仿宋"/>
                <w:b/>
                <w:sz w:val="24"/>
              </w:rPr>
            </w:pPr>
            <w:r>
              <w:rPr>
                <w:rFonts w:hint="eastAsia" w:ascii="仿宋" w:eastAsia="仿宋"/>
                <w:b/>
                <w:sz w:val="24"/>
              </w:rPr>
              <w:t>配备专兼职心理健康工作人员的中小学校比例（</w:t>
            </w:r>
            <w:r>
              <w:rPr>
                <w:rFonts w:ascii="Times New Roman" w:eastAsia="Times New Roman"/>
                <w:b/>
                <w:sz w:val="24"/>
              </w:rPr>
              <w:t>%</w:t>
            </w:r>
            <w:r>
              <w:rPr>
                <w:rFonts w:hint="eastAsia" w:ascii="仿宋" w:eastAsia="仿宋"/>
                <w:b/>
                <w:sz w:val="24"/>
              </w:rPr>
              <w:t>）</w:t>
            </w:r>
          </w:p>
        </w:tc>
        <w:tc>
          <w:tcPr>
            <w:tcW w:w="1282" w:type="dxa"/>
          </w:tcPr>
          <w:p>
            <w:pPr>
              <w:pStyle w:val="11"/>
              <w:spacing w:before="140"/>
              <w:ind w:left="16"/>
              <w:jc w:val="center"/>
              <w:rPr>
                <w:rFonts w:ascii="Times New Roman" w:hAnsi="Times New Roman"/>
                <w:sz w:val="24"/>
              </w:rPr>
            </w:pPr>
            <w:r>
              <w:rPr>
                <w:rFonts w:ascii="Times New Roman" w:hAnsi="Times New Roman"/>
                <w:sz w:val="24"/>
              </w:rPr>
              <w:t>—</w:t>
            </w:r>
          </w:p>
        </w:tc>
        <w:tc>
          <w:tcPr>
            <w:tcW w:w="851" w:type="dxa"/>
          </w:tcPr>
          <w:p>
            <w:pPr>
              <w:pStyle w:val="11"/>
              <w:spacing w:before="140"/>
              <w:ind w:left="66" w:right="52"/>
              <w:jc w:val="center"/>
              <w:rPr>
                <w:rFonts w:ascii="Times New Roman"/>
                <w:sz w:val="24"/>
              </w:rPr>
            </w:pPr>
            <w:r>
              <w:rPr>
                <w:rFonts w:ascii="Times New Roman"/>
                <w:sz w:val="24"/>
              </w:rPr>
              <w:t>80</w:t>
            </w:r>
          </w:p>
        </w:tc>
        <w:tc>
          <w:tcPr>
            <w:tcW w:w="851" w:type="dxa"/>
          </w:tcPr>
          <w:p>
            <w:pPr>
              <w:pStyle w:val="11"/>
              <w:spacing w:before="140"/>
              <w:ind w:left="66" w:right="55"/>
              <w:jc w:val="center"/>
              <w:rPr>
                <w:rFonts w:ascii="Times New Roman"/>
                <w:sz w:val="24"/>
              </w:rPr>
            </w:pPr>
            <w:r>
              <w:rPr>
                <w:rFonts w:ascii="Times New Roman"/>
                <w:sz w:val="24"/>
              </w:rPr>
              <w:t>90</w:t>
            </w:r>
          </w:p>
        </w:tc>
        <w:tc>
          <w:tcPr>
            <w:tcW w:w="1050" w:type="dxa"/>
          </w:tcPr>
          <w:p>
            <w:pPr>
              <w:pStyle w:val="11"/>
              <w:spacing w:before="124"/>
              <w:ind w:left="144" w:right="128"/>
              <w:jc w:val="center"/>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1"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214" w:line="242" w:lineRule="auto"/>
              <w:ind w:left="226" w:right="10" w:hanging="120"/>
              <w:rPr>
                <w:rFonts w:hint="eastAsia" w:ascii="黑体" w:eastAsia="黑体"/>
                <w:sz w:val="24"/>
              </w:rPr>
            </w:pPr>
            <w:r>
              <w:rPr>
                <w:rFonts w:hint="eastAsia" w:ascii="黑体" w:eastAsia="黑体"/>
                <w:w w:val="85"/>
                <w:sz w:val="21"/>
              </w:rPr>
              <w:t xml:space="preserve">（九） </w:t>
            </w:r>
            <w:r>
              <w:rPr>
                <w:rFonts w:hint="eastAsia" w:ascii="黑体" w:eastAsia="黑体"/>
                <w:sz w:val="24"/>
              </w:rPr>
              <w:t>职业健康保护行动</w:t>
            </w:r>
          </w:p>
        </w:tc>
        <w:tc>
          <w:tcPr>
            <w:tcW w:w="8185" w:type="dxa"/>
            <w:gridSpan w:val="6"/>
          </w:tcPr>
          <w:p>
            <w:pPr>
              <w:pStyle w:val="11"/>
              <w:spacing w:before="47"/>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20"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rPr>
                <w:rFonts w:ascii="宋体"/>
                <w:b/>
                <w:sz w:val="26"/>
              </w:rPr>
            </w:pPr>
          </w:p>
          <w:p>
            <w:pPr>
              <w:pStyle w:val="11"/>
              <w:rPr>
                <w:rFonts w:ascii="宋体"/>
                <w:b/>
                <w:sz w:val="23"/>
              </w:rPr>
            </w:pPr>
          </w:p>
          <w:p>
            <w:pPr>
              <w:pStyle w:val="11"/>
              <w:spacing w:before="1"/>
              <w:ind w:left="225"/>
              <w:rPr>
                <w:rFonts w:ascii="Times New Roman"/>
                <w:sz w:val="24"/>
              </w:rPr>
            </w:pPr>
            <w:r>
              <w:rPr>
                <w:rFonts w:ascii="Times New Roman"/>
                <w:sz w:val="24"/>
              </w:rPr>
              <w:t>70</w:t>
            </w:r>
          </w:p>
        </w:tc>
        <w:tc>
          <w:tcPr>
            <w:tcW w:w="3458" w:type="dxa"/>
          </w:tcPr>
          <w:p>
            <w:pPr>
              <w:pStyle w:val="11"/>
              <w:rPr>
                <w:rFonts w:ascii="宋体"/>
                <w:b/>
                <w:sz w:val="24"/>
              </w:rPr>
            </w:pPr>
          </w:p>
          <w:p>
            <w:pPr>
              <w:pStyle w:val="11"/>
              <w:rPr>
                <w:rFonts w:ascii="宋体"/>
                <w:b/>
                <w:sz w:val="24"/>
              </w:rPr>
            </w:pPr>
          </w:p>
          <w:p>
            <w:pPr>
              <w:pStyle w:val="11"/>
              <w:spacing w:before="191"/>
              <w:ind w:left="108"/>
              <w:rPr>
                <w:rFonts w:hint="eastAsia" w:ascii="仿宋" w:eastAsia="仿宋"/>
                <w:b/>
                <w:sz w:val="24"/>
              </w:rPr>
            </w:pPr>
            <w:r>
              <w:rPr>
                <w:rFonts w:hint="eastAsia" w:ascii="仿宋" w:eastAsia="仿宋"/>
                <w:b/>
                <w:sz w:val="24"/>
              </w:rPr>
              <w:t>工伤保险参保人数（亿人）</w:t>
            </w:r>
          </w:p>
        </w:tc>
        <w:tc>
          <w:tcPr>
            <w:tcW w:w="1282" w:type="dxa"/>
          </w:tcPr>
          <w:p>
            <w:pPr>
              <w:pStyle w:val="11"/>
              <w:rPr>
                <w:rFonts w:ascii="宋体"/>
                <w:b/>
                <w:sz w:val="26"/>
              </w:rPr>
            </w:pPr>
          </w:p>
          <w:p>
            <w:pPr>
              <w:pStyle w:val="11"/>
              <w:rPr>
                <w:rFonts w:ascii="宋体"/>
                <w:b/>
                <w:sz w:val="26"/>
              </w:rPr>
            </w:pPr>
          </w:p>
          <w:p>
            <w:pPr>
              <w:pStyle w:val="11"/>
              <w:spacing w:before="1"/>
              <w:ind w:left="89" w:right="116"/>
              <w:jc w:val="center"/>
              <w:rPr>
                <w:rFonts w:hint="eastAsia" w:ascii="仿宋" w:eastAsia="仿宋"/>
                <w:sz w:val="24"/>
              </w:rPr>
            </w:pPr>
            <w:r>
              <w:rPr>
                <w:rFonts w:ascii="Times New Roman" w:eastAsia="Times New Roman"/>
                <w:sz w:val="24"/>
              </w:rPr>
              <w:t xml:space="preserve">2018 </w:t>
            </w:r>
            <w:r>
              <w:rPr>
                <w:rFonts w:hint="eastAsia" w:ascii="仿宋" w:eastAsia="仿宋"/>
                <w:sz w:val="24"/>
              </w:rPr>
              <w:t>年为</w:t>
            </w:r>
          </w:p>
          <w:p>
            <w:pPr>
              <w:pStyle w:val="11"/>
              <w:spacing w:before="3"/>
              <w:ind w:left="89" w:right="76"/>
              <w:jc w:val="center"/>
              <w:rPr>
                <w:rFonts w:ascii="Times New Roman"/>
                <w:sz w:val="24"/>
              </w:rPr>
            </w:pPr>
            <w:r>
              <w:rPr>
                <w:rFonts w:ascii="Times New Roman"/>
                <w:sz w:val="24"/>
              </w:rPr>
              <w:t>2.36</w:t>
            </w:r>
          </w:p>
        </w:tc>
        <w:tc>
          <w:tcPr>
            <w:tcW w:w="851" w:type="dxa"/>
          </w:tcPr>
          <w:p>
            <w:pPr>
              <w:pStyle w:val="11"/>
              <w:rPr>
                <w:rFonts w:ascii="宋体"/>
                <w:b/>
                <w:sz w:val="24"/>
              </w:rPr>
            </w:pPr>
          </w:p>
          <w:p>
            <w:pPr>
              <w:pStyle w:val="11"/>
              <w:spacing w:before="9"/>
              <w:rPr>
                <w:rFonts w:ascii="宋体"/>
                <w:b/>
                <w:sz w:val="26"/>
              </w:rPr>
            </w:pPr>
          </w:p>
          <w:p>
            <w:pPr>
              <w:pStyle w:val="11"/>
              <w:spacing w:line="242" w:lineRule="auto"/>
              <w:ind w:left="185" w:right="168"/>
              <w:rPr>
                <w:rFonts w:hint="eastAsia" w:ascii="仿宋" w:eastAsia="仿宋"/>
                <w:sz w:val="24"/>
              </w:rPr>
            </w:pPr>
            <w:r>
              <w:rPr>
                <w:rFonts w:hint="eastAsia" w:ascii="仿宋" w:eastAsia="仿宋"/>
                <w:sz w:val="24"/>
              </w:rPr>
              <w:t>稳步提升</w:t>
            </w:r>
          </w:p>
        </w:tc>
        <w:tc>
          <w:tcPr>
            <w:tcW w:w="851" w:type="dxa"/>
          </w:tcPr>
          <w:p>
            <w:pPr>
              <w:pStyle w:val="11"/>
              <w:spacing w:before="7" w:line="187" w:lineRule="auto"/>
              <w:ind w:left="183" w:right="170"/>
              <w:jc w:val="both"/>
              <w:rPr>
                <w:rFonts w:hint="eastAsia" w:ascii="仿宋" w:eastAsia="仿宋"/>
                <w:sz w:val="24"/>
              </w:rPr>
            </w:pPr>
            <w:r>
              <w:rPr>
                <w:rFonts w:hint="eastAsia" w:ascii="仿宋" w:eastAsia="仿宋"/>
                <w:sz w:val="24"/>
              </w:rPr>
              <w:t>实现工伤保险法定人群参保全覆</w:t>
            </w:r>
          </w:p>
          <w:p>
            <w:pPr>
              <w:pStyle w:val="11"/>
              <w:spacing w:line="214" w:lineRule="exact"/>
              <w:ind w:left="11"/>
              <w:jc w:val="center"/>
              <w:rPr>
                <w:rFonts w:hint="eastAsia" w:ascii="仿宋" w:eastAsia="仿宋"/>
                <w:sz w:val="24"/>
              </w:rPr>
            </w:pPr>
            <w:r>
              <w:rPr>
                <w:rFonts w:hint="eastAsia" w:ascii="仿宋" w:eastAsia="仿宋"/>
                <w:sz w:val="24"/>
              </w:rPr>
              <w:t>盖</w:t>
            </w:r>
          </w:p>
        </w:tc>
        <w:tc>
          <w:tcPr>
            <w:tcW w:w="1050" w:type="dxa"/>
          </w:tcPr>
          <w:p>
            <w:pPr>
              <w:pStyle w:val="11"/>
              <w:rPr>
                <w:rFonts w:ascii="宋体"/>
                <w:b/>
                <w:sz w:val="24"/>
              </w:rPr>
            </w:pPr>
          </w:p>
          <w:p>
            <w:pPr>
              <w:pStyle w:val="11"/>
              <w:rPr>
                <w:rFonts w:ascii="宋体"/>
                <w:b/>
                <w:sz w:val="24"/>
              </w:rPr>
            </w:pPr>
          </w:p>
          <w:p>
            <w:pPr>
              <w:pStyle w:val="11"/>
              <w:spacing w:before="191"/>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1"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2"/>
              <w:rPr>
                <w:rFonts w:ascii="宋体"/>
                <w:b/>
                <w:sz w:val="15"/>
              </w:rPr>
            </w:pPr>
          </w:p>
          <w:p>
            <w:pPr>
              <w:pStyle w:val="11"/>
              <w:spacing w:line="242" w:lineRule="auto"/>
              <w:ind w:left="108" w:right="-15"/>
              <w:rPr>
                <w:sz w:val="21"/>
              </w:rPr>
            </w:pPr>
            <w:r>
              <w:rPr>
                <w:spacing w:val="-14"/>
                <w:w w:val="95"/>
                <w:sz w:val="21"/>
              </w:rPr>
              <w:t xml:space="preserve">说明：工伤保险作为社会保险制度的一个组成部分，是国家通过立法强制实施的，  </w:t>
            </w:r>
            <w:r>
              <w:rPr>
                <w:spacing w:val="-14"/>
                <w:sz w:val="21"/>
              </w:rPr>
              <w:t>是国家对职工履行的社会责任，也是职工应当享受的基本权利。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4"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6"/>
              <w:rPr>
                <w:rFonts w:ascii="宋体"/>
                <w:b/>
                <w:sz w:val="21"/>
              </w:rPr>
            </w:pPr>
          </w:p>
          <w:p>
            <w:pPr>
              <w:pStyle w:val="11"/>
              <w:spacing w:before="1"/>
              <w:ind w:left="225"/>
              <w:rPr>
                <w:rFonts w:ascii="Times New Roman"/>
                <w:sz w:val="24"/>
              </w:rPr>
            </w:pPr>
            <w:r>
              <w:rPr>
                <w:rFonts w:ascii="Times New Roman"/>
                <w:sz w:val="24"/>
              </w:rPr>
              <w:t>71</w:t>
            </w:r>
          </w:p>
        </w:tc>
        <w:tc>
          <w:tcPr>
            <w:tcW w:w="3458" w:type="dxa"/>
          </w:tcPr>
          <w:p>
            <w:pPr>
              <w:pStyle w:val="11"/>
              <w:spacing w:before="2" w:line="242" w:lineRule="auto"/>
              <w:ind w:left="108" w:right="78"/>
              <w:rPr>
                <w:rFonts w:hint="eastAsia" w:ascii="仿宋" w:eastAsia="仿宋"/>
                <w:b/>
                <w:sz w:val="24"/>
              </w:rPr>
            </w:pPr>
            <w:r>
              <w:rPr>
                <w:rFonts w:hint="eastAsia" w:ascii="仿宋" w:eastAsia="仿宋"/>
                <w:b/>
                <w:sz w:val="24"/>
              </w:rPr>
              <w:t xml:space="preserve">接尘工龄不足 </w:t>
            </w:r>
            <w:r>
              <w:rPr>
                <w:rFonts w:ascii="Times New Roman" w:eastAsia="Times New Roman"/>
                <w:b/>
                <w:sz w:val="24"/>
              </w:rPr>
              <w:t xml:space="preserve">5 </w:t>
            </w:r>
            <w:r>
              <w:rPr>
                <w:rFonts w:hint="eastAsia" w:ascii="仿宋" w:eastAsia="仿宋"/>
                <w:b/>
                <w:sz w:val="24"/>
              </w:rPr>
              <w:t>年的劳动者新发尘肺病报告例数占年度报告</w:t>
            </w:r>
          </w:p>
          <w:p>
            <w:pPr>
              <w:pStyle w:val="11"/>
              <w:spacing w:before="1" w:line="290" w:lineRule="exact"/>
              <w:ind w:left="108"/>
              <w:rPr>
                <w:rFonts w:hint="eastAsia" w:ascii="仿宋" w:eastAsia="仿宋"/>
                <w:b/>
                <w:sz w:val="24"/>
              </w:rPr>
            </w:pPr>
            <w:r>
              <w:rPr>
                <w:rFonts w:hint="eastAsia" w:ascii="仿宋" w:eastAsia="仿宋"/>
                <w:b/>
                <w:sz w:val="24"/>
              </w:rPr>
              <w:t>总例数比例（</w:t>
            </w:r>
            <w:r>
              <w:rPr>
                <w:rFonts w:ascii="Times New Roman" w:eastAsia="Times New Roman"/>
                <w:b/>
                <w:sz w:val="24"/>
              </w:rPr>
              <w:t>%</w:t>
            </w:r>
            <w:r>
              <w:rPr>
                <w:rFonts w:hint="eastAsia" w:ascii="仿宋" w:eastAsia="仿宋"/>
                <w:b/>
                <w:sz w:val="24"/>
              </w:rPr>
              <w:t>）</w:t>
            </w:r>
          </w:p>
        </w:tc>
        <w:tc>
          <w:tcPr>
            <w:tcW w:w="1282" w:type="dxa"/>
          </w:tcPr>
          <w:p>
            <w:pPr>
              <w:pStyle w:val="11"/>
              <w:spacing w:before="7"/>
              <w:rPr>
                <w:rFonts w:ascii="宋体"/>
                <w:b/>
                <w:sz w:val="25"/>
              </w:rPr>
            </w:pPr>
          </w:p>
          <w:p>
            <w:pPr>
              <w:pStyle w:val="11"/>
              <w:spacing w:before="1"/>
              <w:ind w:left="16"/>
              <w:jc w:val="center"/>
              <w:rPr>
                <w:rFonts w:ascii="Times New Roman" w:hAnsi="Times New Roman"/>
                <w:sz w:val="24"/>
              </w:rPr>
            </w:pPr>
            <w:r>
              <w:rPr>
                <w:rFonts w:ascii="Times New Roman" w:hAnsi="Times New Roman"/>
                <w:sz w:val="24"/>
              </w:rPr>
              <w:t>—</w:t>
            </w:r>
          </w:p>
        </w:tc>
        <w:tc>
          <w:tcPr>
            <w:tcW w:w="851" w:type="dxa"/>
          </w:tcPr>
          <w:p>
            <w:pPr>
              <w:pStyle w:val="11"/>
              <w:spacing w:before="156" w:line="242" w:lineRule="auto"/>
              <w:ind w:left="185" w:right="168"/>
              <w:rPr>
                <w:rFonts w:hint="eastAsia" w:ascii="仿宋" w:eastAsia="仿宋"/>
                <w:sz w:val="24"/>
              </w:rPr>
            </w:pPr>
            <w:r>
              <w:rPr>
                <w:rFonts w:hint="eastAsia" w:ascii="仿宋" w:eastAsia="仿宋"/>
                <w:sz w:val="24"/>
              </w:rPr>
              <w:t>明显下降</w:t>
            </w:r>
          </w:p>
        </w:tc>
        <w:tc>
          <w:tcPr>
            <w:tcW w:w="851" w:type="dxa"/>
          </w:tcPr>
          <w:p>
            <w:pPr>
              <w:pStyle w:val="11"/>
              <w:spacing w:before="156" w:line="242" w:lineRule="auto"/>
              <w:ind w:left="183" w:right="170"/>
              <w:rPr>
                <w:rFonts w:hint="eastAsia" w:ascii="仿宋" w:eastAsia="仿宋"/>
                <w:sz w:val="24"/>
              </w:rPr>
            </w:pPr>
            <w:r>
              <w:rPr>
                <w:rFonts w:hint="eastAsia" w:ascii="仿宋" w:eastAsia="仿宋"/>
                <w:sz w:val="24"/>
              </w:rPr>
              <w:t>持续下降</w:t>
            </w:r>
          </w:p>
        </w:tc>
        <w:tc>
          <w:tcPr>
            <w:tcW w:w="1050" w:type="dxa"/>
          </w:tcPr>
          <w:p>
            <w:pPr>
              <w:pStyle w:val="11"/>
              <w:spacing w:before="4"/>
              <w:rPr>
                <w:rFonts w:ascii="宋体"/>
                <w:b/>
                <w:sz w:val="24"/>
              </w:rPr>
            </w:pPr>
          </w:p>
          <w:p>
            <w:pPr>
              <w:pStyle w:val="11"/>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ind w:left="108"/>
              <w:rPr>
                <w:sz w:val="21"/>
              </w:rPr>
            </w:pPr>
            <w:r>
              <w:rPr>
                <w:sz w:val="21"/>
              </w:rPr>
              <w:t>说明：该指标提及的尘肺病是指经职业病诊断机构依据《中华人民共和国职业病</w:t>
            </w:r>
          </w:p>
          <w:p>
            <w:pPr>
              <w:pStyle w:val="11"/>
              <w:spacing w:before="5" w:line="251" w:lineRule="exact"/>
              <w:ind w:left="108"/>
              <w:rPr>
                <w:sz w:val="21"/>
              </w:rPr>
            </w:pPr>
            <w:r>
              <w:rPr>
                <w:sz w:val="21"/>
              </w:rPr>
              <w:t>防治法》和《职业性尘肺病的诊断》（</w:t>
            </w:r>
            <w:r>
              <w:rPr>
                <w:rFonts w:ascii="Times New Roman" w:hAnsi="Times New Roman" w:eastAsia="Times New Roman"/>
                <w:sz w:val="21"/>
              </w:rPr>
              <w:t>GBZ 70—2015</w:t>
            </w:r>
            <w:r>
              <w:rPr>
                <w:sz w:val="21"/>
              </w:rPr>
              <w:t>）诊断的职业性尘肺病。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4"/>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tcPr>
          <w:p>
            <w:pPr>
              <w:pStyle w:val="11"/>
              <w:spacing w:before="171"/>
              <w:ind w:left="225"/>
              <w:rPr>
                <w:rFonts w:ascii="Times New Roman"/>
                <w:sz w:val="24"/>
              </w:rPr>
            </w:pPr>
            <w:r>
              <w:rPr>
                <w:rFonts w:ascii="Times New Roman"/>
                <w:sz w:val="24"/>
              </w:rPr>
              <w:t>72</w:t>
            </w:r>
          </w:p>
        </w:tc>
        <w:tc>
          <w:tcPr>
            <w:tcW w:w="3458" w:type="dxa"/>
          </w:tcPr>
          <w:p>
            <w:pPr>
              <w:pStyle w:val="11"/>
              <w:spacing w:before="1"/>
              <w:ind w:left="108"/>
              <w:rPr>
                <w:rFonts w:hint="eastAsia" w:ascii="仿宋" w:eastAsia="仿宋"/>
                <w:b/>
                <w:sz w:val="24"/>
              </w:rPr>
            </w:pPr>
            <w:r>
              <w:rPr>
                <w:rFonts w:hint="eastAsia" w:ascii="仿宋" w:eastAsia="仿宋"/>
                <w:b/>
                <w:w w:val="85"/>
                <w:sz w:val="24"/>
              </w:rPr>
              <w:t>重点行业劳动者对本岗位主要危害</w:t>
            </w:r>
          </w:p>
          <w:p>
            <w:pPr>
              <w:pStyle w:val="11"/>
              <w:spacing w:before="3" w:line="291" w:lineRule="exact"/>
              <w:ind w:left="108"/>
              <w:rPr>
                <w:rFonts w:hint="eastAsia" w:ascii="仿宋" w:eastAsia="仿宋"/>
                <w:b/>
                <w:sz w:val="24"/>
              </w:rPr>
            </w:pPr>
            <w:r>
              <w:rPr>
                <w:rFonts w:hint="eastAsia" w:ascii="仿宋" w:eastAsia="仿宋"/>
                <w:b/>
                <w:sz w:val="24"/>
              </w:rPr>
              <w:t>及防护知识知晓率（</w:t>
            </w:r>
            <w:r>
              <w:rPr>
                <w:rFonts w:ascii="Times New Roman" w:eastAsia="Times New Roman"/>
                <w:b/>
                <w:sz w:val="24"/>
              </w:rPr>
              <w:t>%</w:t>
            </w:r>
            <w:r>
              <w:rPr>
                <w:rFonts w:hint="eastAsia" w:ascii="仿宋" w:eastAsia="仿宋"/>
                <w:b/>
                <w:sz w:val="24"/>
              </w:rPr>
              <w:t>）</w:t>
            </w:r>
          </w:p>
        </w:tc>
        <w:tc>
          <w:tcPr>
            <w:tcW w:w="1282" w:type="dxa"/>
          </w:tcPr>
          <w:p>
            <w:pPr>
              <w:pStyle w:val="11"/>
              <w:spacing w:before="171"/>
              <w:ind w:left="16"/>
              <w:jc w:val="center"/>
              <w:rPr>
                <w:rFonts w:ascii="Times New Roman" w:hAnsi="Times New Roman"/>
                <w:sz w:val="24"/>
              </w:rPr>
            </w:pPr>
            <w:r>
              <w:rPr>
                <w:rFonts w:ascii="Times New Roman" w:hAnsi="Times New Roman"/>
                <w:sz w:val="24"/>
              </w:rPr>
              <w:t>—</w:t>
            </w:r>
          </w:p>
        </w:tc>
        <w:tc>
          <w:tcPr>
            <w:tcW w:w="851" w:type="dxa"/>
          </w:tcPr>
          <w:p>
            <w:pPr>
              <w:pStyle w:val="11"/>
              <w:spacing w:before="171"/>
              <w:ind w:left="66" w:right="52"/>
              <w:jc w:val="center"/>
              <w:rPr>
                <w:rFonts w:ascii="Times New Roman" w:hAnsi="Times New Roman"/>
                <w:sz w:val="24"/>
              </w:rPr>
            </w:pPr>
            <w:r>
              <w:rPr>
                <w:rFonts w:ascii="Times New Roman" w:hAnsi="Times New Roman"/>
                <w:sz w:val="24"/>
              </w:rPr>
              <w:t>≥90</w:t>
            </w:r>
          </w:p>
        </w:tc>
        <w:tc>
          <w:tcPr>
            <w:tcW w:w="851" w:type="dxa"/>
          </w:tcPr>
          <w:p>
            <w:pPr>
              <w:pStyle w:val="11"/>
              <w:spacing w:before="1"/>
              <w:ind w:left="183"/>
              <w:rPr>
                <w:rFonts w:hint="eastAsia" w:ascii="仿宋" w:eastAsia="仿宋"/>
                <w:sz w:val="24"/>
              </w:rPr>
            </w:pPr>
            <w:r>
              <w:rPr>
                <w:rFonts w:hint="eastAsia" w:ascii="仿宋" w:eastAsia="仿宋"/>
                <w:sz w:val="24"/>
              </w:rPr>
              <w:t>持续</w:t>
            </w:r>
          </w:p>
          <w:p>
            <w:pPr>
              <w:pStyle w:val="11"/>
              <w:spacing w:before="3" w:line="291" w:lineRule="exact"/>
              <w:ind w:left="183"/>
              <w:rPr>
                <w:rFonts w:hint="eastAsia" w:ascii="仿宋" w:eastAsia="仿宋"/>
                <w:sz w:val="24"/>
              </w:rPr>
            </w:pPr>
            <w:r>
              <w:rPr>
                <w:rFonts w:hint="eastAsia" w:ascii="仿宋" w:eastAsia="仿宋"/>
                <w:sz w:val="24"/>
              </w:rPr>
              <w:t>保持</w:t>
            </w:r>
          </w:p>
        </w:tc>
        <w:tc>
          <w:tcPr>
            <w:tcW w:w="1050" w:type="dxa"/>
          </w:tcPr>
          <w:p>
            <w:pPr>
              <w:pStyle w:val="11"/>
              <w:spacing w:before="155"/>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0" w:hRule="atLeast"/>
        </w:trPr>
        <w:tc>
          <w:tcPr>
            <w:tcW w:w="695" w:type="dxa"/>
            <w:vMerge w:val="continue"/>
            <w:tcBorders>
              <w:top w:val="nil"/>
            </w:tcBorders>
          </w:tcPr>
          <w:p>
            <w:pPr>
              <w:rPr>
                <w:sz w:val="2"/>
                <w:szCs w:val="2"/>
              </w:rPr>
            </w:pPr>
          </w:p>
        </w:tc>
        <w:tc>
          <w:tcPr>
            <w:tcW w:w="693" w:type="dxa"/>
          </w:tcPr>
          <w:p>
            <w:pPr>
              <w:pStyle w:val="11"/>
              <w:spacing w:before="172"/>
              <w:ind w:left="225"/>
              <w:rPr>
                <w:rFonts w:ascii="Times New Roman"/>
                <w:sz w:val="24"/>
              </w:rPr>
            </w:pPr>
            <w:r>
              <w:rPr>
                <w:rFonts w:ascii="Times New Roman"/>
                <w:sz w:val="24"/>
              </w:rPr>
              <w:t>73</w:t>
            </w:r>
          </w:p>
        </w:tc>
        <w:tc>
          <w:tcPr>
            <w:tcW w:w="6442" w:type="dxa"/>
            <w:gridSpan w:val="4"/>
          </w:tcPr>
          <w:p>
            <w:pPr>
              <w:pStyle w:val="11"/>
              <w:spacing w:line="310" w:lineRule="atLeast"/>
              <w:ind w:left="108" w:right="27"/>
              <w:rPr>
                <w:rFonts w:hint="eastAsia" w:ascii="仿宋" w:hAnsi="仿宋" w:eastAsia="仿宋"/>
                <w:b/>
                <w:sz w:val="24"/>
              </w:rPr>
            </w:pPr>
            <w:r>
              <w:rPr>
                <w:rFonts w:hint="eastAsia" w:ascii="仿宋" w:hAnsi="仿宋" w:eastAsia="仿宋"/>
                <w:b/>
                <w:sz w:val="24"/>
              </w:rPr>
              <w:t>鼓励各用人单位做好员工健康管理、评选</w:t>
            </w:r>
            <w:r>
              <w:rPr>
                <w:rFonts w:ascii="Times New Roman" w:hAnsi="Times New Roman" w:eastAsia="Times New Roman"/>
                <w:b/>
                <w:sz w:val="24"/>
              </w:rPr>
              <w:t>“</w:t>
            </w:r>
            <w:r>
              <w:rPr>
                <w:rFonts w:hint="eastAsia" w:ascii="仿宋" w:hAnsi="仿宋" w:eastAsia="仿宋"/>
                <w:b/>
                <w:sz w:val="24"/>
              </w:rPr>
              <w:t>健康达人</w:t>
            </w:r>
            <w:r>
              <w:rPr>
                <w:rFonts w:ascii="Times New Roman" w:hAnsi="Times New Roman" w:eastAsia="Times New Roman"/>
                <w:b/>
                <w:sz w:val="24"/>
              </w:rPr>
              <w:t>”</w:t>
            </w:r>
            <w:r>
              <w:rPr>
                <w:rFonts w:hint="eastAsia" w:ascii="仿宋" w:hAnsi="仿宋" w:eastAsia="仿宋"/>
                <w:b/>
                <w:sz w:val="24"/>
              </w:rPr>
              <w:t>，国家机关、学校、医疗卫生机构、国有企业等用人单位应支持员</w:t>
            </w:r>
          </w:p>
        </w:tc>
        <w:tc>
          <w:tcPr>
            <w:tcW w:w="1050" w:type="dxa"/>
          </w:tcPr>
          <w:p>
            <w:pPr>
              <w:pStyle w:val="11"/>
              <w:spacing w:before="156"/>
              <w:ind w:left="144" w:right="128"/>
              <w:jc w:val="center"/>
              <w:rPr>
                <w:rFonts w:hint="eastAsia" w:ascii="仿宋" w:eastAsia="仿宋"/>
                <w:sz w:val="24"/>
              </w:rPr>
            </w:pPr>
            <w:r>
              <w:rPr>
                <w:rFonts w:hint="eastAsia" w:ascii="仿宋" w:eastAsia="仿宋"/>
                <w:sz w:val="24"/>
              </w:rPr>
              <w:t>倡导性</w:t>
            </w:r>
          </w:p>
        </w:tc>
      </w:tr>
    </w:tbl>
    <w:p>
      <w:pPr>
        <w:spacing w:after="0"/>
        <w:jc w:val="center"/>
        <w:rPr>
          <w:rFonts w:hint="eastAsia" w:ascii="仿宋" w:eastAsia="仿宋"/>
          <w:sz w:val="24"/>
        </w:rPr>
        <w:sectPr>
          <w:pgSz w:w="11910" w:h="16840"/>
          <w:pgMar w:top="1420" w:right="1140" w:bottom="1300" w:left="1400" w:header="0" w:footer="1120" w:gutter="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Pr>
          <w:p>
            <w:pPr>
              <w:pStyle w:val="11"/>
              <w:rPr>
                <w:rFonts w:ascii="宋体"/>
                <w:b/>
                <w:sz w:val="24"/>
              </w:rPr>
            </w:pPr>
          </w:p>
          <w:p>
            <w:pPr>
              <w:pStyle w:val="11"/>
              <w:rPr>
                <w:rFonts w:ascii="宋体"/>
                <w:b/>
                <w:sz w:val="24"/>
              </w:rPr>
            </w:pPr>
          </w:p>
          <w:p>
            <w:pPr>
              <w:pStyle w:val="11"/>
              <w:spacing w:before="214" w:line="242" w:lineRule="auto"/>
              <w:ind w:left="226" w:right="10" w:hanging="120"/>
              <w:rPr>
                <w:rFonts w:hint="eastAsia" w:ascii="黑体" w:eastAsia="黑体"/>
                <w:sz w:val="24"/>
              </w:rPr>
            </w:pPr>
            <w:r>
              <w:rPr>
                <w:rFonts w:hint="eastAsia" w:ascii="黑体" w:eastAsia="黑体"/>
                <w:w w:val="85"/>
                <w:sz w:val="21"/>
              </w:rPr>
              <w:t xml:space="preserve">（九） </w:t>
            </w:r>
            <w:r>
              <w:rPr>
                <w:rFonts w:hint="eastAsia" w:ascii="黑体" w:eastAsia="黑体"/>
                <w:sz w:val="24"/>
              </w:rPr>
              <w:t>职业健康保护行动</w:t>
            </w:r>
          </w:p>
        </w:tc>
        <w:tc>
          <w:tcPr>
            <w:tcW w:w="693" w:type="dxa"/>
          </w:tcPr>
          <w:p>
            <w:pPr>
              <w:pStyle w:val="11"/>
              <w:rPr>
                <w:rFonts w:ascii="Times New Roman"/>
                <w:sz w:val="22"/>
              </w:rPr>
            </w:pPr>
          </w:p>
        </w:tc>
        <w:tc>
          <w:tcPr>
            <w:tcW w:w="6442" w:type="dxa"/>
            <w:gridSpan w:val="4"/>
          </w:tcPr>
          <w:p>
            <w:pPr>
              <w:pStyle w:val="11"/>
              <w:spacing w:before="2"/>
              <w:ind w:left="108"/>
              <w:rPr>
                <w:rFonts w:hint="eastAsia" w:ascii="仿宋" w:eastAsia="仿宋"/>
                <w:b/>
                <w:sz w:val="24"/>
              </w:rPr>
            </w:pPr>
            <w:r>
              <w:rPr>
                <w:rFonts w:hint="eastAsia" w:ascii="仿宋" w:eastAsia="仿宋"/>
                <w:b/>
                <w:sz w:val="24"/>
              </w:rPr>
              <w:t>工率先树立健康形象，并给予奖励</w:t>
            </w:r>
          </w:p>
        </w:tc>
        <w:tc>
          <w:tcPr>
            <w:tcW w:w="1050"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45" w:hRule="atLeast"/>
        </w:trPr>
        <w:tc>
          <w:tcPr>
            <w:tcW w:w="695" w:type="dxa"/>
            <w:vMerge w:val="continue"/>
            <w:tcBorders>
              <w:top w:val="nil"/>
            </w:tcBorders>
          </w:tcPr>
          <w:p>
            <w:pPr>
              <w:rPr>
                <w:sz w:val="2"/>
                <w:szCs w:val="2"/>
              </w:rPr>
            </w:pPr>
          </w:p>
        </w:tc>
        <w:tc>
          <w:tcPr>
            <w:tcW w:w="693" w:type="dxa"/>
          </w:tcPr>
          <w:p>
            <w:pPr>
              <w:pStyle w:val="11"/>
              <w:spacing w:before="10"/>
              <w:rPr>
                <w:rFonts w:ascii="宋体"/>
                <w:b/>
                <w:sz w:val="37"/>
              </w:rPr>
            </w:pPr>
          </w:p>
          <w:p>
            <w:pPr>
              <w:pStyle w:val="11"/>
              <w:ind w:left="225"/>
              <w:rPr>
                <w:rFonts w:ascii="Times New Roman"/>
                <w:sz w:val="24"/>
              </w:rPr>
            </w:pPr>
            <w:r>
              <w:rPr>
                <w:rFonts w:ascii="Times New Roman"/>
                <w:sz w:val="24"/>
              </w:rPr>
              <w:t>74</w:t>
            </w:r>
          </w:p>
        </w:tc>
        <w:tc>
          <w:tcPr>
            <w:tcW w:w="6442" w:type="dxa"/>
            <w:gridSpan w:val="4"/>
          </w:tcPr>
          <w:p>
            <w:pPr>
              <w:pStyle w:val="11"/>
              <w:spacing w:before="3" w:line="242" w:lineRule="auto"/>
              <w:ind w:left="108" w:right="67"/>
              <w:jc w:val="both"/>
              <w:rPr>
                <w:rFonts w:hint="eastAsia" w:ascii="仿宋" w:eastAsia="仿宋"/>
                <w:b/>
                <w:sz w:val="24"/>
              </w:rPr>
            </w:pPr>
            <w:r>
              <w:rPr>
                <w:rFonts w:hint="eastAsia" w:ascii="仿宋" w:eastAsia="仿宋"/>
                <w:b/>
                <w:spacing w:val="-5"/>
                <w:sz w:val="24"/>
              </w:rPr>
              <w:t>对从事长时间、高强度重复用力、快速移动等作业方式以及</w:t>
            </w:r>
            <w:r>
              <w:rPr>
                <w:rFonts w:hint="eastAsia" w:ascii="仿宋" w:eastAsia="仿宋"/>
                <w:b/>
                <w:spacing w:val="-4"/>
                <w:sz w:val="24"/>
              </w:rPr>
              <w:t>视屏作业的人员，采取推广先进工艺技术、调整作息时间等</w:t>
            </w:r>
            <w:r>
              <w:rPr>
                <w:rFonts w:hint="eastAsia" w:ascii="仿宋" w:eastAsia="仿宋"/>
                <w:b/>
                <w:spacing w:val="-7"/>
                <w:sz w:val="24"/>
              </w:rPr>
              <w:t>措施，预防和控制过度疲劳和工作相关肌肉骨骼系统疾病的</w:t>
            </w:r>
          </w:p>
          <w:p>
            <w:pPr>
              <w:pStyle w:val="11"/>
              <w:spacing w:line="290" w:lineRule="exact"/>
              <w:ind w:left="108"/>
              <w:rPr>
                <w:rFonts w:hint="eastAsia" w:ascii="仿宋" w:eastAsia="仿宋"/>
                <w:b/>
                <w:sz w:val="24"/>
              </w:rPr>
            </w:pPr>
            <w:r>
              <w:rPr>
                <w:rFonts w:hint="eastAsia" w:ascii="仿宋" w:eastAsia="仿宋"/>
                <w:b/>
                <w:sz w:val="24"/>
              </w:rPr>
              <w:t>发生</w:t>
            </w:r>
          </w:p>
        </w:tc>
        <w:tc>
          <w:tcPr>
            <w:tcW w:w="1050" w:type="dxa"/>
          </w:tcPr>
          <w:p>
            <w:pPr>
              <w:pStyle w:val="11"/>
              <w:rPr>
                <w:rFonts w:ascii="宋体"/>
                <w:b/>
                <w:sz w:val="24"/>
              </w:rPr>
            </w:pPr>
          </w:p>
          <w:p>
            <w:pPr>
              <w:pStyle w:val="11"/>
              <w:spacing w:before="161"/>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7" w:hRule="atLeast"/>
        </w:trPr>
        <w:tc>
          <w:tcPr>
            <w:tcW w:w="695" w:type="dxa"/>
            <w:vMerge w:val="continue"/>
            <w:tcBorders>
              <w:top w:val="nil"/>
            </w:tcBorders>
          </w:tcPr>
          <w:p>
            <w:pPr>
              <w:rPr>
                <w:sz w:val="2"/>
                <w:szCs w:val="2"/>
              </w:rPr>
            </w:pPr>
          </w:p>
        </w:tc>
        <w:tc>
          <w:tcPr>
            <w:tcW w:w="693" w:type="dxa"/>
          </w:tcPr>
          <w:p>
            <w:pPr>
              <w:pStyle w:val="11"/>
              <w:spacing w:before="129"/>
              <w:ind w:left="225"/>
              <w:rPr>
                <w:rFonts w:ascii="Times New Roman"/>
                <w:sz w:val="24"/>
              </w:rPr>
            </w:pPr>
            <w:r>
              <w:rPr>
                <w:rFonts w:ascii="Times New Roman"/>
                <w:sz w:val="24"/>
              </w:rPr>
              <w:t>75</w:t>
            </w:r>
          </w:p>
        </w:tc>
        <w:tc>
          <w:tcPr>
            <w:tcW w:w="6442" w:type="dxa"/>
            <w:gridSpan w:val="4"/>
          </w:tcPr>
          <w:p>
            <w:pPr>
              <w:pStyle w:val="11"/>
              <w:spacing w:before="113"/>
              <w:ind w:left="108"/>
              <w:rPr>
                <w:rFonts w:hint="eastAsia" w:ascii="仿宋" w:eastAsia="仿宋"/>
                <w:b/>
                <w:sz w:val="24"/>
              </w:rPr>
            </w:pPr>
            <w:r>
              <w:rPr>
                <w:rFonts w:hint="eastAsia" w:ascii="仿宋" w:eastAsia="仿宋"/>
                <w:b/>
                <w:sz w:val="24"/>
              </w:rPr>
              <w:t>采取综合措施降低或消除工作压力</w:t>
            </w:r>
          </w:p>
        </w:tc>
        <w:tc>
          <w:tcPr>
            <w:tcW w:w="1050" w:type="dxa"/>
          </w:tcPr>
          <w:p>
            <w:pPr>
              <w:pStyle w:val="11"/>
              <w:spacing w:before="113"/>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spacing w:before="167"/>
              <w:ind w:left="225"/>
              <w:rPr>
                <w:rFonts w:ascii="Times New Roman"/>
                <w:sz w:val="24"/>
              </w:rPr>
            </w:pPr>
            <w:r>
              <w:rPr>
                <w:rFonts w:ascii="Times New Roman"/>
                <w:sz w:val="24"/>
              </w:rPr>
              <w:t>76</w:t>
            </w:r>
          </w:p>
        </w:tc>
        <w:tc>
          <w:tcPr>
            <w:tcW w:w="3458" w:type="dxa"/>
          </w:tcPr>
          <w:p>
            <w:pPr>
              <w:pStyle w:val="11"/>
              <w:spacing w:before="1"/>
              <w:ind w:left="108"/>
              <w:rPr>
                <w:rFonts w:hint="eastAsia" w:ascii="仿宋" w:eastAsia="仿宋"/>
                <w:b/>
                <w:sz w:val="24"/>
              </w:rPr>
            </w:pPr>
            <w:r>
              <w:rPr>
                <w:rFonts w:hint="eastAsia" w:ascii="仿宋" w:eastAsia="仿宋"/>
                <w:b/>
                <w:sz w:val="24"/>
              </w:rPr>
              <w:t>辖区职业健康检查和职业病诊</w:t>
            </w:r>
          </w:p>
          <w:p>
            <w:pPr>
              <w:pStyle w:val="11"/>
              <w:spacing w:before="5" w:line="290" w:lineRule="exact"/>
              <w:ind w:left="108"/>
              <w:rPr>
                <w:rFonts w:hint="eastAsia" w:ascii="仿宋" w:eastAsia="仿宋"/>
                <w:b/>
                <w:sz w:val="24"/>
              </w:rPr>
            </w:pPr>
            <w:r>
              <w:rPr>
                <w:rFonts w:hint="eastAsia" w:ascii="仿宋" w:eastAsia="仿宋"/>
                <w:b/>
                <w:sz w:val="24"/>
              </w:rPr>
              <w:t>断服务覆盖率（</w:t>
            </w:r>
            <w:r>
              <w:rPr>
                <w:rFonts w:ascii="Times New Roman" w:eastAsia="Times New Roman"/>
                <w:b/>
                <w:sz w:val="24"/>
              </w:rPr>
              <w:t>%</w:t>
            </w:r>
            <w:r>
              <w:rPr>
                <w:rFonts w:hint="eastAsia" w:ascii="仿宋" w:eastAsia="仿宋"/>
                <w:b/>
                <w:sz w:val="24"/>
              </w:rPr>
              <w:t>）</w:t>
            </w:r>
          </w:p>
        </w:tc>
        <w:tc>
          <w:tcPr>
            <w:tcW w:w="1282" w:type="dxa"/>
          </w:tcPr>
          <w:p>
            <w:pPr>
              <w:pStyle w:val="11"/>
              <w:spacing w:before="173"/>
              <w:ind w:left="16"/>
              <w:jc w:val="center"/>
              <w:rPr>
                <w:rFonts w:ascii="Times New Roman" w:hAnsi="Times New Roman"/>
                <w:sz w:val="24"/>
              </w:rPr>
            </w:pPr>
            <w:r>
              <w:rPr>
                <w:rFonts w:ascii="Times New Roman" w:hAnsi="Times New Roman"/>
                <w:sz w:val="24"/>
              </w:rPr>
              <w:t>—</w:t>
            </w:r>
          </w:p>
        </w:tc>
        <w:tc>
          <w:tcPr>
            <w:tcW w:w="851" w:type="dxa"/>
          </w:tcPr>
          <w:p>
            <w:pPr>
              <w:pStyle w:val="11"/>
              <w:spacing w:before="173"/>
              <w:ind w:left="66" w:right="52"/>
              <w:jc w:val="center"/>
              <w:rPr>
                <w:rFonts w:ascii="Times New Roman" w:hAnsi="Times New Roman"/>
                <w:sz w:val="24"/>
              </w:rPr>
            </w:pPr>
            <w:r>
              <w:rPr>
                <w:rFonts w:ascii="Times New Roman" w:hAnsi="Times New Roman"/>
                <w:sz w:val="24"/>
              </w:rPr>
              <w:t>≥80</w:t>
            </w:r>
          </w:p>
        </w:tc>
        <w:tc>
          <w:tcPr>
            <w:tcW w:w="851" w:type="dxa"/>
          </w:tcPr>
          <w:p>
            <w:pPr>
              <w:pStyle w:val="11"/>
              <w:spacing w:before="173"/>
              <w:ind w:left="66" w:right="53"/>
              <w:jc w:val="center"/>
              <w:rPr>
                <w:rFonts w:ascii="Times New Roman" w:hAnsi="Times New Roman"/>
                <w:sz w:val="24"/>
              </w:rPr>
            </w:pPr>
            <w:r>
              <w:rPr>
                <w:rFonts w:ascii="Times New Roman" w:hAnsi="Times New Roman"/>
                <w:sz w:val="24"/>
              </w:rPr>
              <w:t>≥90</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08"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08" w:line="244" w:lineRule="auto"/>
              <w:ind w:left="108" w:right="15"/>
              <w:rPr>
                <w:rFonts w:ascii="Times New Roman" w:hAnsi="Times New Roman" w:eastAsia="Times New Roman"/>
                <w:sz w:val="21"/>
              </w:rPr>
            </w:pPr>
            <w:r>
              <w:rPr>
                <w:sz w:val="21"/>
              </w:rPr>
              <w:t>说明：《职业病防治规划（</w:t>
            </w:r>
            <w:r>
              <w:rPr>
                <w:rFonts w:ascii="Times New Roman" w:hAnsi="Times New Roman" w:eastAsia="Times New Roman"/>
                <w:sz w:val="21"/>
              </w:rPr>
              <w:t xml:space="preserve">2016—2020 </w:t>
            </w:r>
            <w:r>
              <w:rPr>
                <w:sz w:val="21"/>
              </w:rPr>
              <w:t xml:space="preserve">年）》规定，各级政府部门应健全职业病防治服务网络，显著提高职业病防治的服务水平。该指标指设区的市至少有 </w:t>
            </w:r>
            <w:r>
              <w:rPr>
                <w:rFonts w:ascii="Times New Roman" w:hAnsi="Times New Roman" w:eastAsia="Times New Roman"/>
                <w:sz w:val="21"/>
              </w:rPr>
              <w:t>1</w:t>
            </w:r>
          </w:p>
          <w:p>
            <w:pPr>
              <w:pStyle w:val="11"/>
              <w:spacing w:line="244" w:lineRule="auto"/>
              <w:ind w:left="108" w:right="41"/>
              <w:rPr>
                <w:sz w:val="21"/>
              </w:rPr>
            </w:pPr>
            <w:r>
              <w:rPr>
                <w:spacing w:val="-6"/>
                <w:sz w:val="21"/>
              </w:rPr>
              <w:t xml:space="preserve">家医疗卫生机构承担本辖区内职业病诊断工作，县级行政区域原则上至少有 </w:t>
            </w:r>
            <w:r>
              <w:rPr>
                <w:rFonts w:ascii="Times New Roman" w:hAnsi="Times New Roman" w:eastAsia="Times New Roman"/>
                <w:sz w:val="21"/>
              </w:rPr>
              <w:t xml:space="preserve">1 </w:t>
            </w:r>
            <w:r>
              <w:rPr>
                <w:sz w:val="21"/>
              </w:rPr>
              <w:t>家</w:t>
            </w:r>
            <w:r>
              <w:rPr>
                <w:w w:val="95"/>
                <w:sz w:val="21"/>
              </w:rPr>
              <w:t>医疗卫生机构承担本辖区职业健康检查工作，实现</w:t>
            </w:r>
            <w:r>
              <w:rPr>
                <w:rFonts w:ascii="Times New Roman" w:hAnsi="Times New Roman" w:eastAsia="Times New Roman"/>
                <w:w w:val="95"/>
                <w:sz w:val="21"/>
              </w:rPr>
              <w:t>“</w:t>
            </w:r>
            <w:r>
              <w:rPr>
                <w:w w:val="95"/>
                <w:sz w:val="21"/>
              </w:rPr>
              <w:t>地市能诊断，县区能体检</w:t>
            </w:r>
            <w:r>
              <w:rPr>
                <w:rFonts w:ascii="Times New Roman" w:hAnsi="Times New Roman" w:eastAsia="Times New Roman"/>
                <w:w w:val="95"/>
                <w:sz w:val="21"/>
              </w:rPr>
              <w:t>”</w:t>
            </w:r>
            <w:r>
              <w:rPr>
                <w:w w:val="95"/>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1"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2"/>
              <w:rPr>
                <w:rFonts w:ascii="宋体"/>
                <w:b/>
                <w:sz w:val="17"/>
              </w:rPr>
            </w:pPr>
          </w:p>
          <w:p>
            <w:pPr>
              <w:pStyle w:val="11"/>
              <w:spacing w:before="1" w:line="242" w:lineRule="auto"/>
              <w:ind w:left="226" w:right="10" w:hanging="120"/>
              <w:rPr>
                <w:rFonts w:hint="eastAsia" w:ascii="黑体" w:eastAsia="黑体"/>
                <w:sz w:val="24"/>
              </w:rPr>
            </w:pPr>
            <w:r>
              <w:rPr>
                <w:rFonts w:hint="eastAsia" w:ascii="黑体" w:eastAsia="黑体"/>
                <w:w w:val="85"/>
                <w:sz w:val="21"/>
              </w:rPr>
              <w:t xml:space="preserve">（十） </w:t>
            </w:r>
            <w:r>
              <w:rPr>
                <w:rFonts w:hint="eastAsia" w:ascii="黑体" w:eastAsia="黑体"/>
                <w:sz w:val="24"/>
              </w:rPr>
              <w:t>老年健康促进行动</w:t>
            </w:r>
          </w:p>
        </w:tc>
        <w:tc>
          <w:tcPr>
            <w:tcW w:w="8185" w:type="dxa"/>
            <w:gridSpan w:val="6"/>
          </w:tcPr>
          <w:p>
            <w:pPr>
              <w:pStyle w:val="11"/>
              <w:spacing w:before="80"/>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11"/>
              <w:rPr>
                <w:rFonts w:ascii="宋体"/>
                <w:b/>
                <w:sz w:val="19"/>
              </w:rPr>
            </w:pPr>
          </w:p>
          <w:p>
            <w:pPr>
              <w:pStyle w:val="11"/>
              <w:spacing w:before="1"/>
              <w:ind w:left="225"/>
              <w:rPr>
                <w:rFonts w:ascii="Times New Roman"/>
                <w:sz w:val="24"/>
              </w:rPr>
            </w:pPr>
            <w:r>
              <w:rPr>
                <w:rFonts w:ascii="Times New Roman"/>
                <w:sz w:val="24"/>
              </w:rPr>
              <w:t>77</w:t>
            </w:r>
          </w:p>
        </w:tc>
        <w:tc>
          <w:tcPr>
            <w:tcW w:w="3458" w:type="dxa"/>
          </w:tcPr>
          <w:p>
            <w:pPr>
              <w:pStyle w:val="11"/>
              <w:spacing w:before="1"/>
              <w:ind w:left="108"/>
              <w:rPr>
                <w:rFonts w:hint="eastAsia" w:ascii="仿宋" w:eastAsia="仿宋"/>
                <w:b/>
                <w:sz w:val="24"/>
              </w:rPr>
            </w:pPr>
            <w:r>
              <w:rPr>
                <w:rFonts w:ascii="Times New Roman" w:eastAsia="Times New Roman"/>
                <w:b/>
                <w:sz w:val="24"/>
              </w:rPr>
              <w:t xml:space="preserve">65 </w:t>
            </w:r>
            <w:r>
              <w:rPr>
                <w:rFonts w:hint="eastAsia" w:ascii="仿宋" w:eastAsia="仿宋"/>
                <w:b/>
                <w:sz w:val="24"/>
              </w:rPr>
              <w:t>～</w:t>
            </w:r>
            <w:r>
              <w:rPr>
                <w:rFonts w:hint="eastAsia" w:ascii="仿宋" w:eastAsia="仿宋"/>
                <w:b/>
                <w:spacing w:val="-94"/>
                <w:sz w:val="24"/>
              </w:rPr>
              <w:t xml:space="preserve"> </w:t>
            </w:r>
            <w:r>
              <w:rPr>
                <w:rFonts w:ascii="Times New Roman" w:eastAsia="Times New Roman"/>
                <w:b/>
                <w:sz w:val="24"/>
              </w:rPr>
              <w:t xml:space="preserve">74 </w:t>
            </w:r>
            <w:r>
              <w:rPr>
                <w:rFonts w:hint="eastAsia" w:ascii="仿宋" w:eastAsia="仿宋"/>
                <w:b/>
                <w:spacing w:val="24"/>
                <w:sz w:val="24"/>
              </w:rPr>
              <w:t>岁老年人失能发生率</w:t>
            </w:r>
          </w:p>
          <w:p>
            <w:pPr>
              <w:pStyle w:val="11"/>
              <w:spacing w:before="5" w:line="289" w:lineRule="exact"/>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18"/>
              <w:ind w:left="89" w:right="116"/>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1" w:line="275" w:lineRule="exact"/>
              <w:ind w:left="89" w:right="76"/>
              <w:jc w:val="center"/>
              <w:rPr>
                <w:rFonts w:ascii="Times New Roman"/>
                <w:sz w:val="24"/>
              </w:rPr>
            </w:pPr>
            <w:r>
              <w:rPr>
                <w:rFonts w:ascii="Times New Roman"/>
                <w:sz w:val="24"/>
              </w:rPr>
              <w:t>18.3</w:t>
            </w:r>
          </w:p>
        </w:tc>
        <w:tc>
          <w:tcPr>
            <w:tcW w:w="1702" w:type="dxa"/>
            <w:gridSpan w:val="2"/>
          </w:tcPr>
          <w:p>
            <w:pPr>
              <w:pStyle w:val="11"/>
              <w:spacing w:before="157"/>
              <w:ind w:left="369"/>
              <w:rPr>
                <w:rFonts w:hint="eastAsia" w:ascii="仿宋" w:eastAsia="仿宋"/>
                <w:sz w:val="24"/>
              </w:rPr>
            </w:pPr>
            <w:r>
              <w:rPr>
                <w:rFonts w:hint="eastAsia" w:ascii="仿宋" w:eastAsia="仿宋"/>
                <w:sz w:val="24"/>
              </w:rPr>
              <w:t>有所下降</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42" w:lineRule="auto"/>
              <w:ind w:left="108" w:right="41"/>
              <w:rPr>
                <w:sz w:val="21"/>
              </w:rPr>
            </w:pPr>
            <w:r>
              <w:rPr>
                <w:sz w:val="21"/>
              </w:rPr>
              <w:t xml:space="preserve">说明：降低 </w:t>
            </w:r>
            <w:r>
              <w:rPr>
                <w:rFonts w:ascii="Times New Roman" w:eastAsia="Times New Roman"/>
                <w:sz w:val="21"/>
              </w:rPr>
              <w:t>65</w:t>
            </w:r>
            <w:r>
              <w:rPr>
                <w:sz w:val="21"/>
              </w:rPr>
              <w:t>～</w:t>
            </w:r>
            <w:r>
              <w:rPr>
                <w:rFonts w:ascii="Times New Roman" w:eastAsia="Times New Roman"/>
                <w:sz w:val="21"/>
              </w:rPr>
              <w:t xml:space="preserve">74 </w:t>
            </w:r>
            <w:r>
              <w:rPr>
                <w:sz w:val="21"/>
              </w:rPr>
              <w:t>岁老年人失能发生率，将失能的发生尽可能延迟至生命的终末期，维持老年人的功能发挥，是世界卫生组织提倡的健康老龄化目标之一。</w:t>
            </w:r>
          </w:p>
          <w:p>
            <w:pPr>
              <w:pStyle w:val="11"/>
              <w:spacing w:before="1" w:line="252" w:lineRule="exact"/>
              <w:ind w:left="108"/>
              <w:rPr>
                <w:sz w:val="21"/>
              </w:rPr>
            </w:pPr>
            <w:r>
              <w:rPr>
                <w:sz w:val="21"/>
              </w:rPr>
              <w:t>计算方法：</w:t>
            </w:r>
            <w:r>
              <w:rPr>
                <w:rFonts w:ascii="Times New Roman" w:hAnsi="Times New Roman" w:eastAsia="Times New Roman"/>
                <w:sz w:val="21"/>
              </w:rPr>
              <w:t>65</w:t>
            </w:r>
            <w:r>
              <w:rPr>
                <w:sz w:val="21"/>
              </w:rPr>
              <w:t>～</w:t>
            </w:r>
            <w:r>
              <w:rPr>
                <w:rFonts w:ascii="Times New Roman" w:hAnsi="Times New Roman" w:eastAsia="Times New Roman"/>
                <w:sz w:val="21"/>
              </w:rPr>
              <w:t xml:space="preserve">74 </w:t>
            </w:r>
            <w:r>
              <w:rPr>
                <w:sz w:val="21"/>
              </w:rPr>
              <w:t>岁失能老年人数</w:t>
            </w:r>
            <w:r>
              <w:rPr>
                <w:rFonts w:ascii="Times New Roman" w:hAnsi="Times New Roman" w:eastAsia="Times New Roman"/>
                <w:sz w:val="21"/>
              </w:rPr>
              <w:t>/65</w:t>
            </w:r>
            <w:r>
              <w:rPr>
                <w:sz w:val="21"/>
              </w:rPr>
              <w:t>～</w:t>
            </w:r>
            <w:r>
              <w:rPr>
                <w:rFonts w:ascii="Times New Roman" w:hAnsi="Times New Roman" w:eastAsia="Times New Roman"/>
                <w:sz w:val="21"/>
              </w:rPr>
              <w:t xml:space="preserve">74 </w:t>
            </w:r>
            <w:r>
              <w:rPr>
                <w:sz w:val="21"/>
              </w:rPr>
              <w:t>岁老年总人数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spacing w:before="194"/>
              <w:ind w:left="225"/>
              <w:rPr>
                <w:rFonts w:ascii="Times New Roman"/>
                <w:sz w:val="24"/>
              </w:rPr>
            </w:pPr>
            <w:r>
              <w:rPr>
                <w:rFonts w:ascii="Times New Roman"/>
                <w:sz w:val="24"/>
              </w:rPr>
              <w:t>78</w:t>
            </w:r>
          </w:p>
        </w:tc>
        <w:tc>
          <w:tcPr>
            <w:tcW w:w="3458" w:type="dxa"/>
          </w:tcPr>
          <w:p>
            <w:pPr>
              <w:pStyle w:val="11"/>
              <w:ind w:left="108"/>
              <w:rPr>
                <w:rFonts w:hint="eastAsia" w:ascii="仿宋" w:eastAsia="仿宋"/>
                <w:b/>
                <w:sz w:val="24"/>
              </w:rPr>
            </w:pPr>
            <w:r>
              <w:rPr>
                <w:rFonts w:ascii="Times New Roman" w:eastAsia="Times New Roman"/>
                <w:b/>
                <w:sz w:val="24"/>
              </w:rPr>
              <w:t xml:space="preserve">65 </w:t>
            </w:r>
            <w:r>
              <w:rPr>
                <w:rFonts w:hint="eastAsia" w:ascii="仿宋" w:eastAsia="仿宋"/>
                <w:b/>
                <w:sz w:val="24"/>
              </w:rPr>
              <w:t>岁及以上人群老年期痴呆患</w:t>
            </w:r>
          </w:p>
          <w:p>
            <w:pPr>
              <w:pStyle w:val="11"/>
              <w:spacing w:before="4" w:line="290" w:lineRule="exact"/>
              <w:ind w:left="108"/>
              <w:rPr>
                <w:rFonts w:hint="eastAsia" w:ascii="仿宋" w:eastAsia="仿宋"/>
                <w:b/>
                <w:sz w:val="24"/>
              </w:rPr>
            </w:pPr>
            <w:r>
              <w:rPr>
                <w:rFonts w:hint="eastAsia" w:ascii="仿宋" w:eastAsia="仿宋"/>
                <w:b/>
                <w:sz w:val="24"/>
              </w:rPr>
              <w:t>病率（</w:t>
            </w:r>
            <w:r>
              <w:rPr>
                <w:rFonts w:ascii="Times New Roman" w:eastAsia="Times New Roman"/>
                <w:b/>
                <w:sz w:val="24"/>
              </w:rPr>
              <w:t>%</w:t>
            </w:r>
            <w:r>
              <w:rPr>
                <w:rFonts w:hint="eastAsia" w:ascii="仿宋" w:eastAsia="仿宋"/>
                <w:b/>
                <w:sz w:val="24"/>
              </w:rPr>
              <w:t>）</w:t>
            </w:r>
          </w:p>
        </w:tc>
        <w:tc>
          <w:tcPr>
            <w:tcW w:w="1282" w:type="dxa"/>
          </w:tcPr>
          <w:p>
            <w:pPr>
              <w:pStyle w:val="11"/>
              <w:spacing w:before="172"/>
              <w:ind w:left="89" w:right="76"/>
              <w:jc w:val="center"/>
              <w:rPr>
                <w:rFonts w:ascii="Times New Roman"/>
                <w:sz w:val="24"/>
              </w:rPr>
            </w:pPr>
            <w:r>
              <w:rPr>
                <w:rFonts w:ascii="Times New Roman"/>
                <w:sz w:val="24"/>
              </w:rPr>
              <w:t>5.56</w:t>
            </w:r>
          </w:p>
        </w:tc>
        <w:tc>
          <w:tcPr>
            <w:tcW w:w="1702" w:type="dxa"/>
            <w:gridSpan w:val="2"/>
          </w:tcPr>
          <w:p>
            <w:pPr>
              <w:pStyle w:val="11"/>
              <w:spacing w:before="156"/>
              <w:ind w:left="369"/>
              <w:rPr>
                <w:rFonts w:hint="eastAsia" w:ascii="仿宋" w:eastAsia="仿宋"/>
                <w:sz w:val="24"/>
              </w:rPr>
            </w:pPr>
            <w:r>
              <w:rPr>
                <w:rFonts w:hint="eastAsia" w:ascii="仿宋" w:eastAsia="仿宋"/>
                <w:sz w:val="24"/>
              </w:rPr>
              <w:t>增速下降</w:t>
            </w:r>
          </w:p>
        </w:tc>
        <w:tc>
          <w:tcPr>
            <w:tcW w:w="1050" w:type="dxa"/>
          </w:tcPr>
          <w:p>
            <w:pPr>
              <w:pStyle w:val="11"/>
              <w:spacing w:before="156"/>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61"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line="242" w:lineRule="auto"/>
              <w:ind w:left="108" w:right="86"/>
              <w:jc w:val="both"/>
              <w:rPr>
                <w:sz w:val="21"/>
              </w:rPr>
            </w:pPr>
            <w:r>
              <w:rPr>
                <w:spacing w:val="-9"/>
                <w:w w:val="95"/>
                <w:sz w:val="21"/>
              </w:rPr>
              <w:t>说明：据预测，随着老龄化发展，老年痴呆患者绝对数量将呈上升趋势，我国老</w:t>
            </w:r>
            <w:r>
              <w:rPr>
                <w:spacing w:val="2"/>
                <w:w w:val="99"/>
                <w:sz w:val="21"/>
              </w:rPr>
              <w:t>年</w:t>
            </w:r>
            <w:r>
              <w:rPr>
                <w:spacing w:val="-9"/>
                <w:w w:val="99"/>
                <w:sz w:val="21"/>
              </w:rPr>
              <w:t>期痴呆患病率将略有上升。美国老年期痴呆患病率</w:t>
            </w:r>
            <w:r>
              <w:rPr>
                <w:spacing w:val="-9"/>
                <w:sz w:val="21"/>
              </w:rPr>
              <w:t xml:space="preserve"> </w:t>
            </w:r>
            <w:r>
              <w:rPr>
                <w:rFonts w:ascii="Times New Roman" w:eastAsia="Times New Roman"/>
                <w:spacing w:val="1"/>
                <w:w w:val="99"/>
                <w:sz w:val="21"/>
              </w:rPr>
              <w:t>20</w:t>
            </w:r>
            <w:r>
              <w:rPr>
                <w:rFonts w:ascii="Times New Roman" w:eastAsia="Times New Roman"/>
                <w:spacing w:val="-2"/>
                <w:w w:val="99"/>
                <w:sz w:val="21"/>
              </w:rPr>
              <w:t>1</w:t>
            </w:r>
            <w:r>
              <w:rPr>
                <w:rFonts w:ascii="Times New Roman" w:eastAsia="Times New Roman"/>
                <w:w w:val="99"/>
                <w:sz w:val="21"/>
              </w:rPr>
              <w:t>2</w:t>
            </w:r>
            <w:r>
              <w:rPr>
                <w:rFonts w:ascii="Times New Roman" w:eastAsia="Times New Roman"/>
                <w:sz w:val="21"/>
              </w:rPr>
              <w:t xml:space="preserve"> </w:t>
            </w:r>
            <w:r>
              <w:rPr>
                <w:spacing w:val="1"/>
                <w:w w:val="99"/>
                <w:sz w:val="21"/>
              </w:rPr>
              <w:t>年为</w:t>
            </w:r>
            <w:r>
              <w:rPr>
                <w:spacing w:val="-53"/>
                <w:sz w:val="21"/>
              </w:rPr>
              <w:t xml:space="preserve"> </w:t>
            </w:r>
            <w:r>
              <w:rPr>
                <w:rFonts w:ascii="Times New Roman" w:eastAsia="Times New Roman"/>
                <w:spacing w:val="1"/>
                <w:w w:val="99"/>
                <w:sz w:val="21"/>
              </w:rPr>
              <w:t>11</w:t>
            </w:r>
            <w:r>
              <w:rPr>
                <w:rFonts w:ascii="Times New Roman" w:eastAsia="Times New Roman"/>
                <w:w w:val="99"/>
                <w:sz w:val="21"/>
              </w:rPr>
              <w:t>.</w:t>
            </w:r>
            <w:r>
              <w:rPr>
                <w:rFonts w:ascii="Times New Roman" w:eastAsia="Times New Roman"/>
                <w:spacing w:val="1"/>
                <w:w w:val="99"/>
                <w:sz w:val="21"/>
              </w:rPr>
              <w:t>6%</w:t>
            </w:r>
            <w:r>
              <w:rPr>
                <w:spacing w:val="-33"/>
                <w:w w:val="99"/>
                <w:sz w:val="21"/>
              </w:rPr>
              <w:t>，日本</w:t>
            </w:r>
            <w:r>
              <w:rPr>
                <w:spacing w:val="-33"/>
                <w:sz w:val="21"/>
              </w:rPr>
              <w:t xml:space="preserve"> </w:t>
            </w:r>
            <w:r>
              <w:rPr>
                <w:rFonts w:ascii="Times New Roman" w:eastAsia="Times New Roman"/>
                <w:spacing w:val="1"/>
                <w:w w:val="99"/>
                <w:sz w:val="21"/>
              </w:rPr>
              <w:t>200</w:t>
            </w:r>
            <w:r>
              <w:rPr>
                <w:rFonts w:ascii="Times New Roman" w:eastAsia="Times New Roman"/>
                <w:w w:val="99"/>
                <w:sz w:val="21"/>
              </w:rPr>
              <w:t>1</w:t>
            </w:r>
            <w:r>
              <w:rPr>
                <w:sz w:val="21"/>
              </w:rPr>
              <w:t>年</w:t>
            </w:r>
            <w:r>
              <w:rPr>
                <w:spacing w:val="-27"/>
                <w:sz w:val="21"/>
              </w:rPr>
              <w:t xml:space="preserve">为 </w:t>
            </w:r>
            <w:r>
              <w:rPr>
                <w:rFonts w:ascii="Times New Roman" w:eastAsia="Times New Roman"/>
                <w:sz w:val="21"/>
              </w:rPr>
              <w:t>8.8%</w:t>
            </w:r>
            <w:r>
              <w:rPr>
                <w:spacing w:val="-13"/>
                <w:sz w:val="21"/>
              </w:rPr>
              <w:t xml:space="preserve">，韩国 </w:t>
            </w:r>
            <w:r>
              <w:rPr>
                <w:rFonts w:ascii="Times New Roman" w:eastAsia="Times New Roman"/>
                <w:sz w:val="21"/>
              </w:rPr>
              <w:t xml:space="preserve">2008 </w:t>
            </w:r>
            <w:r>
              <w:rPr>
                <w:spacing w:val="-17"/>
                <w:sz w:val="21"/>
              </w:rPr>
              <w:t xml:space="preserve">年为 </w:t>
            </w:r>
            <w:r>
              <w:rPr>
                <w:rFonts w:ascii="Times New Roman" w:eastAsia="Times New Roman"/>
                <w:sz w:val="21"/>
              </w:rPr>
              <w:t>8.1%</w:t>
            </w:r>
            <w:r>
              <w:rPr>
                <w:sz w:val="21"/>
              </w:rPr>
              <w:t>。</w:t>
            </w:r>
          </w:p>
          <w:p>
            <w:pPr>
              <w:pStyle w:val="11"/>
              <w:spacing w:before="2" w:line="270" w:lineRule="atLeast"/>
              <w:ind w:left="108" w:right="92"/>
              <w:jc w:val="both"/>
              <w:rPr>
                <w:sz w:val="21"/>
              </w:rPr>
            </w:pPr>
            <w:r>
              <w:rPr>
                <w:spacing w:val="-5"/>
                <w:sz w:val="21"/>
              </w:rPr>
              <w:t xml:space="preserve">计算方法：抽样调查 </w:t>
            </w:r>
            <w:r>
              <w:rPr>
                <w:rFonts w:ascii="Times New Roman" w:hAnsi="Times New Roman" w:eastAsia="Times New Roman"/>
                <w:sz w:val="21"/>
              </w:rPr>
              <w:t xml:space="preserve">65 </w:t>
            </w:r>
            <w:r>
              <w:rPr>
                <w:sz w:val="21"/>
              </w:rPr>
              <w:t>岁及以上人群中，过去一年符合老年期痴呆诊断标准的人数</w:t>
            </w:r>
            <w:r>
              <w:rPr>
                <w:rFonts w:ascii="Times New Roman" w:hAnsi="Times New Roman" w:eastAsia="Times New Roman"/>
                <w:sz w:val="21"/>
              </w:rPr>
              <w:t>/</w:t>
            </w:r>
            <w:r>
              <w:rPr>
                <w:sz w:val="21"/>
              </w:rPr>
              <w:t>调查人群总人数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restart"/>
          </w:tcPr>
          <w:p>
            <w:pPr>
              <w:pStyle w:val="11"/>
              <w:spacing w:before="8"/>
              <w:rPr>
                <w:rFonts w:ascii="宋体"/>
                <w:b/>
                <w:sz w:val="31"/>
              </w:rPr>
            </w:pPr>
          </w:p>
          <w:p>
            <w:pPr>
              <w:pStyle w:val="11"/>
              <w:ind w:left="225"/>
              <w:rPr>
                <w:rFonts w:ascii="Times New Roman"/>
                <w:sz w:val="24"/>
              </w:rPr>
            </w:pPr>
            <w:r>
              <w:rPr>
                <w:rFonts w:ascii="Times New Roman"/>
                <w:sz w:val="24"/>
              </w:rPr>
              <w:t>79</w:t>
            </w:r>
          </w:p>
        </w:tc>
        <w:tc>
          <w:tcPr>
            <w:tcW w:w="3458" w:type="dxa"/>
          </w:tcPr>
          <w:p>
            <w:pPr>
              <w:pStyle w:val="11"/>
              <w:spacing w:before="43"/>
              <w:ind w:left="108" w:right="-29"/>
              <w:rPr>
                <w:rFonts w:hint="eastAsia" w:ascii="仿宋" w:eastAsia="仿宋"/>
                <w:b/>
                <w:sz w:val="24"/>
              </w:rPr>
            </w:pPr>
            <w:r>
              <w:rPr>
                <w:rFonts w:hint="eastAsia" w:ascii="仿宋" w:eastAsia="仿宋"/>
                <w:b/>
                <w:spacing w:val="-1"/>
                <w:sz w:val="24"/>
              </w:rPr>
              <w:t>老年健康核心信息知晓率</w:t>
            </w:r>
            <w:r>
              <w:rPr>
                <w:rFonts w:hint="eastAsia" w:ascii="仿宋" w:eastAsia="仿宋"/>
                <w:b/>
                <w:spacing w:val="-5"/>
                <w:sz w:val="24"/>
              </w:rPr>
              <w:t>（</w:t>
            </w:r>
            <w:r>
              <w:rPr>
                <w:rFonts w:ascii="Times New Roman" w:eastAsia="Times New Roman"/>
                <w:b/>
                <w:spacing w:val="-5"/>
                <w:sz w:val="24"/>
              </w:rPr>
              <w:t>%</w:t>
            </w:r>
            <w:r>
              <w:rPr>
                <w:rFonts w:hint="eastAsia" w:ascii="仿宋" w:eastAsia="仿宋"/>
                <w:b/>
                <w:spacing w:val="-5"/>
                <w:sz w:val="24"/>
              </w:rPr>
              <w:t>）</w:t>
            </w:r>
          </w:p>
        </w:tc>
        <w:tc>
          <w:tcPr>
            <w:tcW w:w="1282" w:type="dxa"/>
          </w:tcPr>
          <w:p>
            <w:pPr>
              <w:pStyle w:val="11"/>
              <w:spacing w:before="59"/>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43"/>
              <w:ind w:left="369"/>
              <w:rPr>
                <w:rFonts w:hint="eastAsia" w:ascii="仿宋" w:eastAsia="仿宋"/>
                <w:sz w:val="24"/>
              </w:rPr>
            </w:pPr>
            <w:r>
              <w:rPr>
                <w:rFonts w:hint="eastAsia" w:ascii="仿宋" w:eastAsia="仿宋"/>
                <w:sz w:val="24"/>
              </w:rPr>
              <w:t>不断提高</w:t>
            </w:r>
          </w:p>
        </w:tc>
        <w:tc>
          <w:tcPr>
            <w:tcW w:w="1050" w:type="dxa"/>
          </w:tcPr>
          <w:p>
            <w:pPr>
              <w:pStyle w:val="11"/>
              <w:spacing w:before="43"/>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65" w:line="242" w:lineRule="auto"/>
              <w:ind w:left="108" w:right="94"/>
              <w:rPr>
                <w:sz w:val="21"/>
              </w:rPr>
            </w:pPr>
            <w:r>
              <w:rPr>
                <w:spacing w:val="-8"/>
                <w:w w:val="95"/>
                <w:sz w:val="21"/>
              </w:rPr>
              <w:t xml:space="preserve">说明：引导老年人掌握正确的健康知识和理念，掌握自我保健和促进健康的基本  </w:t>
            </w:r>
            <w:r>
              <w:rPr>
                <w:spacing w:val="-8"/>
                <w:sz w:val="21"/>
              </w:rPr>
              <w:t>技能，增强老年群体的健康生活意识，可以强化老年人自身的健康管理意识。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tcPr>
          <w:p>
            <w:pPr>
              <w:pStyle w:val="11"/>
              <w:spacing w:before="172"/>
              <w:ind w:left="225"/>
              <w:rPr>
                <w:rFonts w:ascii="Times New Roman"/>
                <w:sz w:val="24"/>
              </w:rPr>
            </w:pPr>
            <w:r>
              <w:rPr>
                <w:rFonts w:ascii="Times New Roman"/>
                <w:sz w:val="24"/>
              </w:rPr>
              <w:t>80</w:t>
            </w:r>
          </w:p>
        </w:tc>
        <w:tc>
          <w:tcPr>
            <w:tcW w:w="6442" w:type="dxa"/>
            <w:gridSpan w:val="4"/>
          </w:tcPr>
          <w:p>
            <w:pPr>
              <w:pStyle w:val="11"/>
              <w:ind w:left="108"/>
              <w:rPr>
                <w:rFonts w:hint="eastAsia" w:ascii="仿宋" w:eastAsia="仿宋"/>
                <w:b/>
                <w:sz w:val="24"/>
              </w:rPr>
            </w:pPr>
            <w:r>
              <w:rPr>
                <w:rFonts w:hint="eastAsia" w:ascii="仿宋" w:eastAsia="仿宋"/>
                <w:b/>
                <w:sz w:val="24"/>
              </w:rPr>
              <w:t>提倡老年人参加定期体检，经常监测呼吸、脉搏、血压、大</w:t>
            </w:r>
          </w:p>
          <w:p>
            <w:pPr>
              <w:pStyle w:val="11"/>
              <w:spacing w:before="4" w:line="290" w:lineRule="exact"/>
              <w:ind w:left="108"/>
              <w:rPr>
                <w:rFonts w:hint="eastAsia" w:ascii="仿宋" w:eastAsia="仿宋"/>
                <w:b/>
                <w:sz w:val="24"/>
              </w:rPr>
            </w:pPr>
            <w:r>
              <w:rPr>
                <w:rFonts w:hint="eastAsia" w:ascii="仿宋" w:eastAsia="仿宋"/>
                <w:b/>
                <w:sz w:val="24"/>
              </w:rPr>
              <w:t>小便情况，接受家庭医生团队的健康指导</w:t>
            </w:r>
          </w:p>
        </w:tc>
        <w:tc>
          <w:tcPr>
            <w:tcW w:w="1050" w:type="dxa"/>
          </w:tcPr>
          <w:p>
            <w:pPr>
              <w:pStyle w:val="11"/>
              <w:spacing w:before="156"/>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tcPr>
          <w:p>
            <w:pPr>
              <w:pStyle w:val="11"/>
              <w:spacing w:before="173"/>
              <w:ind w:left="225"/>
              <w:rPr>
                <w:rFonts w:ascii="Times New Roman"/>
                <w:sz w:val="24"/>
              </w:rPr>
            </w:pPr>
            <w:r>
              <w:rPr>
                <w:rFonts w:ascii="Times New Roman"/>
                <w:sz w:val="24"/>
              </w:rPr>
              <w:t>81</w:t>
            </w:r>
          </w:p>
        </w:tc>
        <w:tc>
          <w:tcPr>
            <w:tcW w:w="6442" w:type="dxa"/>
            <w:gridSpan w:val="4"/>
          </w:tcPr>
          <w:p>
            <w:pPr>
              <w:pStyle w:val="11"/>
              <w:spacing w:before="1"/>
              <w:ind w:left="108"/>
              <w:rPr>
                <w:rFonts w:hint="eastAsia" w:ascii="仿宋" w:eastAsia="仿宋"/>
                <w:b/>
                <w:sz w:val="24"/>
              </w:rPr>
            </w:pPr>
            <w:r>
              <w:rPr>
                <w:rFonts w:hint="eastAsia" w:ascii="仿宋" w:eastAsia="仿宋"/>
                <w:b/>
                <w:sz w:val="24"/>
              </w:rPr>
              <w:t>鼓励和支持老年大学、老年活动中心、基层老年协会、有资</w:t>
            </w:r>
          </w:p>
          <w:p>
            <w:pPr>
              <w:pStyle w:val="11"/>
              <w:spacing w:before="5" w:line="290" w:lineRule="exact"/>
              <w:ind w:left="108"/>
              <w:rPr>
                <w:rFonts w:hint="eastAsia" w:ascii="仿宋" w:eastAsia="仿宋"/>
                <w:b/>
                <w:sz w:val="24"/>
              </w:rPr>
            </w:pPr>
            <w:r>
              <w:rPr>
                <w:rFonts w:hint="eastAsia" w:ascii="仿宋" w:eastAsia="仿宋"/>
                <w:b/>
                <w:sz w:val="24"/>
              </w:rPr>
              <w:t>质的社会组织等为老年人组织开展健康活动</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tcPr>
          <w:p>
            <w:pPr>
              <w:pStyle w:val="11"/>
              <w:spacing w:before="58"/>
              <w:ind w:left="225"/>
              <w:rPr>
                <w:rFonts w:ascii="Times New Roman"/>
                <w:sz w:val="24"/>
              </w:rPr>
            </w:pPr>
            <w:r>
              <w:rPr>
                <w:rFonts w:ascii="Times New Roman"/>
                <w:sz w:val="24"/>
              </w:rPr>
              <w:t>82</w:t>
            </w:r>
          </w:p>
        </w:tc>
        <w:tc>
          <w:tcPr>
            <w:tcW w:w="6442" w:type="dxa"/>
            <w:gridSpan w:val="4"/>
          </w:tcPr>
          <w:p>
            <w:pPr>
              <w:pStyle w:val="11"/>
              <w:spacing w:before="42"/>
              <w:ind w:left="108"/>
              <w:rPr>
                <w:rFonts w:hint="eastAsia" w:ascii="仿宋" w:eastAsia="仿宋"/>
                <w:b/>
                <w:sz w:val="24"/>
              </w:rPr>
            </w:pPr>
            <w:r>
              <w:rPr>
                <w:rFonts w:hint="eastAsia" w:ascii="仿宋" w:eastAsia="仿宋"/>
                <w:b/>
                <w:sz w:val="24"/>
              </w:rPr>
              <w:t>鼓励和支持社会力量参与、兴办居家养老服务机构</w:t>
            </w:r>
          </w:p>
        </w:tc>
        <w:tc>
          <w:tcPr>
            <w:tcW w:w="1050" w:type="dxa"/>
          </w:tcPr>
          <w:p>
            <w:pPr>
              <w:pStyle w:val="11"/>
              <w:spacing w:before="42"/>
              <w:ind w:left="144" w:right="128"/>
              <w:jc w:val="center"/>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8185" w:type="dxa"/>
            <w:gridSpan w:val="6"/>
          </w:tcPr>
          <w:p>
            <w:pPr>
              <w:pStyle w:val="11"/>
              <w:spacing w:before="43"/>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0" w:hRule="atLeast"/>
        </w:trPr>
        <w:tc>
          <w:tcPr>
            <w:tcW w:w="695" w:type="dxa"/>
            <w:vMerge w:val="continue"/>
            <w:tcBorders>
              <w:top w:val="nil"/>
            </w:tcBorders>
          </w:tcPr>
          <w:p>
            <w:pPr>
              <w:rPr>
                <w:sz w:val="2"/>
                <w:szCs w:val="2"/>
              </w:rPr>
            </w:pPr>
          </w:p>
        </w:tc>
        <w:tc>
          <w:tcPr>
            <w:tcW w:w="693" w:type="dxa"/>
          </w:tcPr>
          <w:p>
            <w:pPr>
              <w:pStyle w:val="11"/>
              <w:spacing w:before="173"/>
              <w:ind w:left="225"/>
              <w:rPr>
                <w:rFonts w:ascii="Times New Roman"/>
                <w:sz w:val="24"/>
              </w:rPr>
            </w:pPr>
            <w:r>
              <w:rPr>
                <w:rFonts w:ascii="Times New Roman"/>
                <w:sz w:val="24"/>
              </w:rPr>
              <w:t>83</w:t>
            </w:r>
          </w:p>
        </w:tc>
        <w:tc>
          <w:tcPr>
            <w:tcW w:w="3458" w:type="dxa"/>
          </w:tcPr>
          <w:p>
            <w:pPr>
              <w:pStyle w:val="11"/>
              <w:spacing w:before="1"/>
              <w:ind w:left="108"/>
              <w:rPr>
                <w:rFonts w:hint="eastAsia" w:ascii="仿宋" w:eastAsia="仿宋"/>
                <w:b/>
                <w:sz w:val="24"/>
              </w:rPr>
            </w:pPr>
            <w:r>
              <w:rPr>
                <w:rFonts w:hint="eastAsia" w:ascii="仿宋" w:eastAsia="仿宋"/>
                <w:b/>
                <w:sz w:val="24"/>
              </w:rPr>
              <w:t>二级以上综合性医院设老年医</w:t>
            </w:r>
          </w:p>
          <w:p>
            <w:pPr>
              <w:pStyle w:val="11"/>
              <w:spacing w:before="4" w:line="287" w:lineRule="exact"/>
              <w:ind w:left="108"/>
              <w:rPr>
                <w:rFonts w:hint="eastAsia" w:ascii="仿宋" w:eastAsia="仿宋"/>
                <w:b/>
                <w:sz w:val="24"/>
              </w:rPr>
            </w:pPr>
            <w:r>
              <w:rPr>
                <w:rFonts w:hint="eastAsia" w:ascii="仿宋" w:eastAsia="仿宋"/>
                <w:b/>
                <w:sz w:val="24"/>
              </w:rPr>
              <w:t>学科比例（</w:t>
            </w:r>
            <w:r>
              <w:rPr>
                <w:rFonts w:ascii="Times New Roman" w:eastAsia="Times New Roman"/>
                <w:b/>
                <w:sz w:val="24"/>
              </w:rPr>
              <w:t>%</w:t>
            </w:r>
            <w:r>
              <w:rPr>
                <w:rFonts w:hint="eastAsia" w:ascii="仿宋" w:eastAsia="仿宋"/>
                <w:b/>
                <w:sz w:val="24"/>
              </w:rPr>
              <w:t>）</w:t>
            </w:r>
          </w:p>
        </w:tc>
        <w:tc>
          <w:tcPr>
            <w:tcW w:w="1282" w:type="dxa"/>
          </w:tcPr>
          <w:p>
            <w:pPr>
              <w:pStyle w:val="11"/>
              <w:spacing w:before="173"/>
              <w:ind w:left="16"/>
              <w:jc w:val="center"/>
              <w:rPr>
                <w:rFonts w:ascii="Times New Roman" w:hAnsi="Times New Roman"/>
                <w:sz w:val="24"/>
              </w:rPr>
            </w:pPr>
            <w:r>
              <w:rPr>
                <w:rFonts w:ascii="Times New Roman" w:hAnsi="Times New Roman"/>
                <w:sz w:val="24"/>
              </w:rPr>
              <w:t>—</w:t>
            </w:r>
          </w:p>
        </w:tc>
        <w:tc>
          <w:tcPr>
            <w:tcW w:w="851" w:type="dxa"/>
          </w:tcPr>
          <w:p>
            <w:pPr>
              <w:pStyle w:val="11"/>
              <w:spacing w:before="173"/>
              <w:ind w:left="66" w:right="52"/>
              <w:jc w:val="center"/>
              <w:rPr>
                <w:rFonts w:ascii="Times New Roman" w:hAnsi="Times New Roman"/>
                <w:sz w:val="24"/>
              </w:rPr>
            </w:pPr>
            <w:r>
              <w:rPr>
                <w:rFonts w:ascii="Times New Roman" w:hAnsi="Times New Roman"/>
                <w:sz w:val="24"/>
              </w:rPr>
              <w:t>≥50</w:t>
            </w:r>
          </w:p>
        </w:tc>
        <w:tc>
          <w:tcPr>
            <w:tcW w:w="851" w:type="dxa"/>
          </w:tcPr>
          <w:p>
            <w:pPr>
              <w:pStyle w:val="11"/>
              <w:spacing w:before="173"/>
              <w:ind w:left="66" w:right="53"/>
              <w:jc w:val="center"/>
              <w:rPr>
                <w:rFonts w:ascii="Times New Roman" w:hAnsi="Times New Roman"/>
                <w:sz w:val="24"/>
              </w:rPr>
            </w:pPr>
            <w:r>
              <w:rPr>
                <w:rFonts w:ascii="Times New Roman" w:hAnsi="Times New Roman"/>
                <w:sz w:val="24"/>
              </w:rPr>
              <w:t>≥90</w:t>
            </w:r>
          </w:p>
        </w:tc>
        <w:tc>
          <w:tcPr>
            <w:tcW w:w="1050" w:type="dxa"/>
          </w:tcPr>
          <w:p>
            <w:pPr>
              <w:pStyle w:val="11"/>
              <w:spacing w:before="157"/>
              <w:ind w:left="144" w:right="128"/>
              <w:jc w:val="center"/>
              <w:rPr>
                <w:rFonts w:hint="eastAsia" w:ascii="仿宋" w:eastAsia="仿宋"/>
                <w:sz w:val="24"/>
              </w:rPr>
            </w:pPr>
            <w:r>
              <w:rPr>
                <w:rFonts w:hint="eastAsia" w:ascii="仿宋" w:eastAsia="仿宋"/>
                <w:sz w:val="24"/>
              </w:rPr>
              <w:t>预期性</w:t>
            </w:r>
          </w:p>
        </w:tc>
      </w:tr>
    </w:tbl>
    <w:p>
      <w:pPr>
        <w:spacing w:after="0"/>
        <w:jc w:val="center"/>
        <w:rPr>
          <w:rFonts w:hint="eastAsia" w:ascii="仿宋" w:eastAsia="仿宋"/>
          <w:sz w:val="24"/>
        </w:rPr>
        <w:sectPr>
          <w:pgSz w:w="11910" w:h="16840"/>
          <w:pgMar w:top="1420" w:right="1140" w:bottom="1300" w:left="1400" w:header="0" w:footer="1120" w:gutter="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15" w:hRule="atLeast"/>
        </w:trPr>
        <w:tc>
          <w:tcPr>
            <w:tcW w:w="695" w:type="dxa"/>
            <w:vMerge w:val="restart"/>
          </w:tcPr>
          <w:p>
            <w:pPr>
              <w:pStyle w:val="11"/>
              <w:spacing w:before="12"/>
              <w:rPr>
                <w:rFonts w:ascii="宋体"/>
                <w:b/>
                <w:sz w:val="18"/>
              </w:rPr>
            </w:pPr>
          </w:p>
          <w:p>
            <w:pPr>
              <w:pStyle w:val="11"/>
              <w:spacing w:line="242" w:lineRule="auto"/>
              <w:ind w:left="226" w:right="10" w:hanging="120"/>
              <w:rPr>
                <w:rFonts w:hint="eastAsia" w:ascii="黑体" w:eastAsia="黑体"/>
                <w:sz w:val="24"/>
              </w:rPr>
            </w:pPr>
            <w:r>
              <w:rPr>
                <w:rFonts w:hint="eastAsia" w:ascii="黑体" w:eastAsia="黑体"/>
                <w:w w:val="85"/>
                <w:sz w:val="21"/>
              </w:rPr>
              <w:t xml:space="preserve">（十） </w:t>
            </w:r>
            <w:r>
              <w:rPr>
                <w:rFonts w:hint="eastAsia" w:ascii="黑体" w:eastAsia="黑体"/>
                <w:sz w:val="24"/>
              </w:rPr>
              <w:t>老年健康促进行动</w:t>
            </w:r>
          </w:p>
        </w:tc>
        <w:tc>
          <w:tcPr>
            <w:tcW w:w="693" w:type="dxa"/>
          </w:tcPr>
          <w:p>
            <w:pPr>
              <w:pStyle w:val="11"/>
              <w:rPr>
                <w:rFonts w:ascii="Times New Roman"/>
                <w:sz w:val="22"/>
              </w:rPr>
            </w:pPr>
          </w:p>
        </w:tc>
        <w:tc>
          <w:tcPr>
            <w:tcW w:w="7492" w:type="dxa"/>
            <w:gridSpan w:val="5"/>
          </w:tcPr>
          <w:p>
            <w:pPr>
              <w:pStyle w:val="11"/>
              <w:spacing w:before="49"/>
              <w:ind w:left="108"/>
              <w:rPr>
                <w:sz w:val="21"/>
              </w:rPr>
            </w:pPr>
            <w:r>
              <w:rPr>
                <w:sz w:val="21"/>
              </w:rPr>
              <w:t>说明：设置老年医学科的二级以上综合性医院比例。</w:t>
            </w:r>
          </w:p>
          <w:p>
            <w:pPr>
              <w:pStyle w:val="11"/>
              <w:spacing w:before="2"/>
              <w:ind w:left="108"/>
              <w:rPr>
                <w:sz w:val="21"/>
              </w:rPr>
            </w:pPr>
            <w:r>
              <w:rPr>
                <w:sz w:val="21"/>
              </w:rPr>
              <w:t>计算方法：设置老年医学科的二级以上综合性医院数</w:t>
            </w:r>
            <w:r>
              <w:rPr>
                <w:rFonts w:ascii="Times New Roman" w:eastAsia="Times New Roman"/>
                <w:sz w:val="21"/>
              </w:rPr>
              <w:t>/</w:t>
            </w:r>
            <w:r>
              <w:rPr>
                <w:sz w:val="21"/>
              </w:rPr>
              <w:t>二级以上综合性医院数</w:t>
            </w:r>
          </w:p>
          <w:p>
            <w:pPr>
              <w:pStyle w:val="11"/>
              <w:spacing w:before="4"/>
              <w:ind w:left="108"/>
              <w:rPr>
                <w:sz w:val="21"/>
              </w:rPr>
            </w:pP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spacing w:before="1"/>
              <w:ind w:left="225"/>
              <w:rPr>
                <w:rFonts w:ascii="Times New Roman"/>
                <w:sz w:val="24"/>
              </w:rPr>
            </w:pPr>
            <w:r>
              <w:rPr>
                <w:rFonts w:ascii="Times New Roman"/>
                <w:sz w:val="24"/>
              </w:rPr>
              <w:t>84</w:t>
            </w:r>
          </w:p>
        </w:tc>
        <w:tc>
          <w:tcPr>
            <w:tcW w:w="3458" w:type="dxa"/>
          </w:tcPr>
          <w:p>
            <w:pPr>
              <w:pStyle w:val="11"/>
              <w:spacing w:before="1" w:line="310" w:lineRule="atLeast"/>
              <w:ind w:left="108" w:right="61"/>
              <w:rPr>
                <w:rFonts w:hint="eastAsia" w:ascii="仿宋" w:eastAsia="仿宋"/>
                <w:b/>
                <w:sz w:val="24"/>
              </w:rPr>
            </w:pPr>
            <w:r>
              <w:rPr>
                <w:rFonts w:hint="eastAsia" w:ascii="仿宋" w:eastAsia="仿宋"/>
                <w:b/>
                <w:spacing w:val="-8"/>
                <w:w w:val="95"/>
                <w:sz w:val="24"/>
              </w:rPr>
              <w:t>养老机构以不同形式为入住老年</w:t>
            </w:r>
            <w:r>
              <w:rPr>
                <w:rFonts w:hint="eastAsia" w:ascii="仿宋" w:eastAsia="仿宋"/>
                <w:b/>
                <w:spacing w:val="-17"/>
                <w:sz w:val="24"/>
              </w:rPr>
              <w:t>人提供医疗卫生服务比例</w:t>
            </w:r>
            <w:r>
              <w:rPr>
                <w:rFonts w:hint="eastAsia" w:ascii="仿宋" w:eastAsia="仿宋"/>
                <w:b/>
                <w:spacing w:val="-9"/>
                <w:sz w:val="24"/>
              </w:rPr>
              <w:t>（</w:t>
            </w:r>
            <w:r>
              <w:rPr>
                <w:rFonts w:ascii="Times New Roman" w:eastAsia="Times New Roman"/>
                <w:b/>
                <w:spacing w:val="-9"/>
                <w:sz w:val="24"/>
              </w:rPr>
              <w:t>%</w:t>
            </w:r>
            <w:r>
              <w:rPr>
                <w:rFonts w:hint="eastAsia" w:ascii="仿宋" w:eastAsia="仿宋"/>
                <w:b/>
                <w:spacing w:val="-9"/>
                <w:sz w:val="24"/>
              </w:rPr>
              <w:t>）</w:t>
            </w:r>
          </w:p>
        </w:tc>
        <w:tc>
          <w:tcPr>
            <w:tcW w:w="1282" w:type="dxa"/>
          </w:tcPr>
          <w:p>
            <w:pPr>
              <w:pStyle w:val="11"/>
              <w:spacing w:before="173"/>
              <w:ind w:left="89" w:right="73"/>
              <w:jc w:val="center"/>
              <w:rPr>
                <w:rFonts w:ascii="Times New Roman"/>
                <w:sz w:val="24"/>
              </w:rPr>
            </w:pPr>
            <w:r>
              <w:rPr>
                <w:rFonts w:ascii="Times New Roman"/>
                <w:sz w:val="24"/>
              </w:rPr>
              <w:t>93</w:t>
            </w:r>
          </w:p>
        </w:tc>
        <w:tc>
          <w:tcPr>
            <w:tcW w:w="851" w:type="dxa"/>
          </w:tcPr>
          <w:p>
            <w:pPr>
              <w:pStyle w:val="11"/>
              <w:spacing w:before="173"/>
              <w:ind w:left="245"/>
              <w:rPr>
                <w:rFonts w:ascii="Times New Roman"/>
                <w:sz w:val="24"/>
              </w:rPr>
            </w:pPr>
            <w:r>
              <w:rPr>
                <w:rFonts w:ascii="Times New Roman"/>
                <w:sz w:val="24"/>
              </w:rPr>
              <w:t>100</w:t>
            </w:r>
          </w:p>
        </w:tc>
        <w:tc>
          <w:tcPr>
            <w:tcW w:w="851" w:type="dxa"/>
          </w:tcPr>
          <w:p>
            <w:pPr>
              <w:pStyle w:val="11"/>
              <w:spacing w:before="1" w:line="310" w:lineRule="atLeast"/>
              <w:ind w:left="183" w:right="170"/>
              <w:rPr>
                <w:rFonts w:hint="eastAsia" w:ascii="仿宋" w:eastAsia="仿宋"/>
                <w:sz w:val="24"/>
              </w:rPr>
            </w:pPr>
            <w:r>
              <w:rPr>
                <w:rFonts w:hint="eastAsia" w:ascii="仿宋" w:eastAsia="仿宋"/>
                <w:sz w:val="24"/>
              </w:rPr>
              <w:t>持续改善</w:t>
            </w:r>
          </w:p>
        </w:tc>
        <w:tc>
          <w:tcPr>
            <w:tcW w:w="1050" w:type="dxa"/>
          </w:tcPr>
          <w:p>
            <w:pPr>
              <w:pStyle w:val="11"/>
              <w:spacing w:before="157"/>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72"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77"/>
              <w:ind w:left="108"/>
              <w:rPr>
                <w:sz w:val="21"/>
              </w:rPr>
            </w:pPr>
            <w:r>
              <w:rPr>
                <w:sz w:val="21"/>
              </w:rPr>
              <w:t>说明：以不同形式为入住老年人提供医疗卫生服务的养老机构比例。</w:t>
            </w:r>
          </w:p>
          <w:p>
            <w:pPr>
              <w:pStyle w:val="11"/>
              <w:spacing w:before="2"/>
              <w:ind w:left="108"/>
              <w:rPr>
                <w:sz w:val="21"/>
              </w:rPr>
            </w:pPr>
            <w:r>
              <w:rPr>
                <w:spacing w:val="-4"/>
                <w:sz w:val="21"/>
              </w:rPr>
              <w:t>计算方法：以不同形式为入住老年人提供医疗卫生服务的养老机构数</w:t>
            </w:r>
            <w:r>
              <w:rPr>
                <w:rFonts w:ascii="Times New Roman" w:eastAsia="Times New Roman"/>
                <w:sz w:val="21"/>
              </w:rPr>
              <w:t>/</w:t>
            </w:r>
            <w:r>
              <w:rPr>
                <w:spacing w:val="-3"/>
                <w:sz w:val="21"/>
              </w:rPr>
              <w:t>养老机构数</w:t>
            </w:r>
          </w:p>
          <w:p>
            <w:pPr>
              <w:pStyle w:val="11"/>
              <w:spacing w:before="4"/>
              <w:ind w:left="108"/>
              <w:rPr>
                <w:sz w:val="21"/>
              </w:rPr>
            </w:pP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5" w:hRule="atLeast"/>
        </w:trPr>
        <w:tc>
          <w:tcPr>
            <w:tcW w:w="695" w:type="dxa"/>
            <w:vMerge w:val="continue"/>
            <w:tcBorders>
              <w:top w:val="nil"/>
            </w:tcBorders>
          </w:tcPr>
          <w:p>
            <w:pPr>
              <w:rPr>
                <w:sz w:val="2"/>
                <w:szCs w:val="2"/>
              </w:rPr>
            </w:pPr>
          </w:p>
        </w:tc>
        <w:tc>
          <w:tcPr>
            <w:tcW w:w="693" w:type="dxa"/>
          </w:tcPr>
          <w:p>
            <w:pPr>
              <w:pStyle w:val="11"/>
              <w:spacing w:before="223"/>
              <w:ind w:left="225"/>
              <w:rPr>
                <w:rFonts w:ascii="Times New Roman"/>
                <w:sz w:val="24"/>
              </w:rPr>
            </w:pPr>
            <w:r>
              <w:rPr>
                <w:rFonts w:ascii="Times New Roman"/>
                <w:sz w:val="24"/>
              </w:rPr>
              <w:t>85</w:t>
            </w:r>
          </w:p>
        </w:tc>
        <w:tc>
          <w:tcPr>
            <w:tcW w:w="3458" w:type="dxa"/>
          </w:tcPr>
          <w:p>
            <w:pPr>
              <w:pStyle w:val="11"/>
              <w:spacing w:before="51"/>
              <w:ind w:left="108"/>
              <w:rPr>
                <w:rFonts w:hint="eastAsia" w:ascii="仿宋" w:eastAsia="仿宋"/>
                <w:b/>
                <w:sz w:val="24"/>
              </w:rPr>
            </w:pPr>
            <w:r>
              <w:rPr>
                <w:rFonts w:hint="eastAsia" w:ascii="仿宋" w:eastAsia="仿宋"/>
                <w:b/>
                <w:sz w:val="24"/>
              </w:rPr>
              <w:t>三级中医医院设置康复科比例</w:t>
            </w:r>
          </w:p>
          <w:p>
            <w:pPr>
              <w:pStyle w:val="11"/>
              <w:spacing w:before="4"/>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223"/>
              <w:ind w:left="16"/>
              <w:jc w:val="center"/>
              <w:rPr>
                <w:rFonts w:ascii="Times New Roman" w:hAnsi="Times New Roman"/>
                <w:sz w:val="24"/>
              </w:rPr>
            </w:pPr>
            <w:r>
              <w:rPr>
                <w:rFonts w:ascii="Times New Roman" w:hAnsi="Times New Roman"/>
                <w:sz w:val="24"/>
              </w:rPr>
              <w:t>—</w:t>
            </w:r>
          </w:p>
        </w:tc>
        <w:tc>
          <w:tcPr>
            <w:tcW w:w="851" w:type="dxa"/>
          </w:tcPr>
          <w:p>
            <w:pPr>
              <w:pStyle w:val="11"/>
              <w:spacing w:before="223"/>
              <w:ind w:left="66" w:right="52"/>
              <w:jc w:val="center"/>
              <w:rPr>
                <w:rFonts w:ascii="Times New Roman"/>
                <w:sz w:val="24"/>
              </w:rPr>
            </w:pPr>
            <w:r>
              <w:rPr>
                <w:rFonts w:ascii="Times New Roman"/>
                <w:sz w:val="24"/>
              </w:rPr>
              <w:t>75</w:t>
            </w:r>
          </w:p>
        </w:tc>
        <w:tc>
          <w:tcPr>
            <w:tcW w:w="851" w:type="dxa"/>
          </w:tcPr>
          <w:p>
            <w:pPr>
              <w:pStyle w:val="11"/>
              <w:spacing w:before="223"/>
              <w:ind w:left="66" w:right="55"/>
              <w:jc w:val="center"/>
              <w:rPr>
                <w:rFonts w:ascii="Times New Roman"/>
                <w:sz w:val="24"/>
              </w:rPr>
            </w:pPr>
            <w:r>
              <w:rPr>
                <w:rFonts w:ascii="Times New Roman"/>
                <w:sz w:val="24"/>
              </w:rPr>
              <w:t>90</w:t>
            </w:r>
          </w:p>
        </w:tc>
        <w:tc>
          <w:tcPr>
            <w:tcW w:w="1050" w:type="dxa"/>
          </w:tcPr>
          <w:p>
            <w:pPr>
              <w:pStyle w:val="11"/>
              <w:spacing w:before="207"/>
              <w:ind w:left="165"/>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695" w:type="dxa"/>
            <w:vMerge w:val="restart"/>
          </w:tcPr>
          <w:p>
            <w:pPr>
              <w:pStyle w:val="11"/>
              <w:spacing w:before="151"/>
              <w:ind w:left="69" w:right="42"/>
              <w:jc w:val="center"/>
              <w:rPr>
                <w:rFonts w:hint="eastAsia" w:ascii="黑体" w:eastAsia="黑体"/>
                <w:sz w:val="24"/>
              </w:rPr>
            </w:pPr>
            <w:r>
              <w:rPr>
                <w:rFonts w:hint="eastAsia" w:ascii="黑体" w:eastAsia="黑体"/>
                <w:w w:val="55"/>
                <w:sz w:val="24"/>
              </w:rPr>
              <w:t>（十一）</w:t>
            </w:r>
          </w:p>
          <w:p>
            <w:pPr>
              <w:pStyle w:val="11"/>
              <w:spacing w:before="4"/>
              <w:ind w:left="27"/>
              <w:jc w:val="center"/>
              <w:rPr>
                <w:rFonts w:hint="eastAsia" w:ascii="黑体" w:eastAsia="黑体"/>
                <w:sz w:val="24"/>
              </w:rPr>
            </w:pPr>
            <w:r>
              <w:rPr>
                <w:rFonts w:hint="eastAsia" w:ascii="黑体" w:eastAsia="黑体"/>
                <w:w w:val="50"/>
                <w:sz w:val="24"/>
              </w:rPr>
              <w:t>～</w:t>
            </w:r>
          </w:p>
          <w:p>
            <w:pPr>
              <w:pStyle w:val="11"/>
              <w:spacing w:before="2" w:line="242" w:lineRule="auto"/>
              <w:ind w:left="226" w:right="108" w:hanging="89"/>
              <w:rPr>
                <w:rFonts w:hint="eastAsia" w:ascii="黑体" w:eastAsia="黑体"/>
                <w:sz w:val="24"/>
              </w:rPr>
            </w:pPr>
            <w:r>
              <w:rPr>
                <w:rFonts w:hint="eastAsia" w:ascii="黑体" w:eastAsia="黑体"/>
                <w:spacing w:val="-17"/>
                <w:w w:val="50"/>
                <w:sz w:val="24"/>
              </w:rPr>
              <w:t>（</w:t>
            </w:r>
            <w:r>
              <w:rPr>
                <w:rFonts w:hint="eastAsia" w:ascii="黑体" w:eastAsia="黑体"/>
                <w:spacing w:val="-16"/>
                <w:w w:val="50"/>
                <w:sz w:val="24"/>
              </w:rPr>
              <w:t xml:space="preserve">十四） </w:t>
            </w:r>
            <w:r>
              <w:rPr>
                <w:rFonts w:hint="eastAsia" w:ascii="黑体" w:eastAsia="黑体"/>
                <w:sz w:val="24"/>
              </w:rPr>
              <w:t>心脑血管疾病</w:t>
            </w:r>
          </w:p>
          <w:p>
            <w:pPr>
              <w:pStyle w:val="11"/>
              <w:spacing w:before="6" w:line="242" w:lineRule="auto"/>
              <w:ind w:left="226" w:right="211"/>
              <w:jc w:val="both"/>
              <w:rPr>
                <w:rFonts w:hint="eastAsia" w:ascii="黑体" w:eastAsia="黑体"/>
                <w:sz w:val="24"/>
              </w:rPr>
            </w:pPr>
            <w:r>
              <w:rPr>
                <w:rFonts w:hint="eastAsia" w:ascii="黑体" w:eastAsia="黑体"/>
                <w:sz w:val="24"/>
              </w:rPr>
              <w:t>、癌症</w:t>
            </w:r>
          </w:p>
          <w:p>
            <w:pPr>
              <w:pStyle w:val="11"/>
              <w:spacing w:before="1" w:line="242" w:lineRule="auto"/>
              <w:ind w:left="226" w:right="211"/>
              <w:jc w:val="both"/>
              <w:rPr>
                <w:rFonts w:hint="eastAsia" w:ascii="黑体" w:eastAsia="黑体"/>
                <w:sz w:val="24"/>
              </w:rPr>
            </w:pPr>
            <w:r>
              <w:rPr>
                <w:rFonts w:hint="eastAsia" w:ascii="黑体" w:eastAsia="黑体"/>
                <w:sz w:val="24"/>
              </w:rPr>
              <w:t>、慢性呼吸系统疾病</w:t>
            </w:r>
          </w:p>
          <w:p>
            <w:pPr>
              <w:pStyle w:val="11"/>
              <w:spacing w:before="6" w:line="242" w:lineRule="auto"/>
              <w:ind w:left="226" w:right="211"/>
              <w:jc w:val="both"/>
              <w:rPr>
                <w:rFonts w:hint="eastAsia" w:ascii="黑体" w:eastAsia="黑体"/>
                <w:sz w:val="24"/>
              </w:rPr>
            </w:pPr>
            <w:r>
              <w:rPr>
                <w:rFonts w:hint="eastAsia" w:ascii="黑体" w:eastAsia="黑体"/>
                <w:sz w:val="24"/>
              </w:rPr>
              <w:t>、糖尿病防治行动</w:t>
            </w:r>
          </w:p>
        </w:tc>
        <w:tc>
          <w:tcPr>
            <w:tcW w:w="8185" w:type="dxa"/>
            <w:gridSpan w:val="6"/>
          </w:tcPr>
          <w:p>
            <w:pPr>
              <w:pStyle w:val="11"/>
              <w:spacing w:before="2" w:line="290" w:lineRule="exact"/>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6" w:hRule="atLeast"/>
        </w:trPr>
        <w:tc>
          <w:tcPr>
            <w:tcW w:w="695" w:type="dxa"/>
            <w:vMerge w:val="continue"/>
            <w:tcBorders>
              <w:top w:val="nil"/>
            </w:tcBorders>
          </w:tcPr>
          <w:p>
            <w:pPr>
              <w:rPr>
                <w:sz w:val="2"/>
                <w:szCs w:val="2"/>
              </w:rPr>
            </w:pPr>
          </w:p>
        </w:tc>
        <w:tc>
          <w:tcPr>
            <w:tcW w:w="693" w:type="dxa"/>
          </w:tcPr>
          <w:p>
            <w:pPr>
              <w:pStyle w:val="11"/>
              <w:spacing w:before="154"/>
              <w:ind w:left="225"/>
              <w:rPr>
                <w:rFonts w:ascii="Times New Roman"/>
                <w:sz w:val="24"/>
              </w:rPr>
            </w:pPr>
            <w:r>
              <w:rPr>
                <w:rFonts w:ascii="Times New Roman"/>
                <w:sz w:val="24"/>
              </w:rPr>
              <w:t>86</w:t>
            </w:r>
          </w:p>
        </w:tc>
        <w:tc>
          <w:tcPr>
            <w:tcW w:w="3458" w:type="dxa"/>
          </w:tcPr>
          <w:p>
            <w:pPr>
              <w:pStyle w:val="11"/>
              <w:spacing w:before="138"/>
              <w:ind w:left="108" w:right="-29"/>
              <w:rPr>
                <w:rFonts w:hint="eastAsia" w:ascii="仿宋" w:eastAsia="仿宋"/>
                <w:b/>
                <w:sz w:val="24"/>
              </w:rPr>
            </w:pPr>
            <w:r>
              <w:rPr>
                <w:rFonts w:hint="eastAsia" w:ascii="仿宋" w:eastAsia="仿宋"/>
                <w:b/>
                <w:spacing w:val="-2"/>
                <w:sz w:val="24"/>
              </w:rPr>
              <w:t>心脑血管疾病死亡率</w:t>
            </w:r>
            <w:r>
              <w:rPr>
                <w:rFonts w:hint="eastAsia" w:ascii="仿宋" w:eastAsia="仿宋"/>
                <w:b/>
                <w:sz w:val="24"/>
              </w:rPr>
              <w:t>（</w:t>
            </w:r>
            <w:r>
              <w:rPr>
                <w:rFonts w:ascii="Times New Roman" w:eastAsia="Times New Roman"/>
                <w:b/>
                <w:sz w:val="24"/>
              </w:rPr>
              <w:t>1/10</w:t>
            </w:r>
            <w:r>
              <w:rPr>
                <w:rFonts w:ascii="Times New Roman" w:eastAsia="Times New Roman"/>
                <w:b/>
                <w:spacing w:val="-4"/>
                <w:sz w:val="24"/>
              </w:rPr>
              <w:t xml:space="preserve"> </w:t>
            </w:r>
            <w:r>
              <w:rPr>
                <w:rFonts w:hint="eastAsia" w:ascii="仿宋" w:eastAsia="仿宋"/>
                <w:b/>
                <w:sz w:val="24"/>
              </w:rPr>
              <w:t>万</w:t>
            </w:r>
            <w:r>
              <w:rPr>
                <w:rFonts w:hint="eastAsia" w:ascii="仿宋" w:eastAsia="仿宋"/>
                <w:b/>
                <w:spacing w:val="-14"/>
                <w:sz w:val="24"/>
              </w:rPr>
              <w:t>）</w:t>
            </w:r>
          </w:p>
        </w:tc>
        <w:tc>
          <w:tcPr>
            <w:tcW w:w="1282" w:type="dxa"/>
          </w:tcPr>
          <w:p>
            <w:pPr>
              <w:pStyle w:val="11"/>
              <w:spacing w:before="1"/>
              <w:ind w:left="89" w:right="116"/>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2" w:line="257" w:lineRule="exact"/>
              <w:ind w:left="89" w:right="76"/>
              <w:jc w:val="center"/>
              <w:rPr>
                <w:rFonts w:ascii="Times New Roman"/>
                <w:sz w:val="24"/>
              </w:rPr>
            </w:pPr>
            <w:r>
              <w:rPr>
                <w:rFonts w:ascii="Times New Roman"/>
                <w:sz w:val="24"/>
              </w:rPr>
              <w:t>238.4</w:t>
            </w:r>
          </w:p>
        </w:tc>
        <w:tc>
          <w:tcPr>
            <w:tcW w:w="851" w:type="dxa"/>
          </w:tcPr>
          <w:p>
            <w:pPr>
              <w:pStyle w:val="11"/>
              <w:spacing w:before="154"/>
              <w:ind w:right="113"/>
              <w:jc w:val="right"/>
              <w:rPr>
                <w:rFonts w:ascii="Times New Roman" w:hAnsi="Times New Roman"/>
                <w:sz w:val="24"/>
              </w:rPr>
            </w:pPr>
            <w:r>
              <w:rPr>
                <w:rFonts w:ascii="Times New Roman" w:hAnsi="Times New Roman"/>
                <w:w w:val="90"/>
                <w:sz w:val="24"/>
              </w:rPr>
              <w:t>≤209.7</w:t>
            </w:r>
          </w:p>
        </w:tc>
        <w:tc>
          <w:tcPr>
            <w:tcW w:w="851" w:type="dxa"/>
          </w:tcPr>
          <w:p>
            <w:pPr>
              <w:pStyle w:val="11"/>
              <w:spacing w:before="154"/>
              <w:ind w:right="112"/>
              <w:jc w:val="right"/>
              <w:rPr>
                <w:rFonts w:ascii="Times New Roman" w:hAnsi="Times New Roman"/>
                <w:sz w:val="24"/>
              </w:rPr>
            </w:pPr>
            <w:r>
              <w:rPr>
                <w:rFonts w:ascii="Times New Roman" w:hAnsi="Times New Roman"/>
                <w:w w:val="90"/>
                <w:sz w:val="24"/>
              </w:rPr>
              <w:t>≤190.7</w:t>
            </w:r>
          </w:p>
        </w:tc>
        <w:tc>
          <w:tcPr>
            <w:tcW w:w="1050" w:type="dxa"/>
          </w:tcPr>
          <w:p>
            <w:pPr>
              <w:pStyle w:val="11"/>
              <w:spacing w:before="138"/>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tcPr>
          <w:p>
            <w:pPr>
              <w:pStyle w:val="11"/>
              <w:spacing w:before="155"/>
              <w:ind w:left="225"/>
              <w:rPr>
                <w:rFonts w:ascii="Times New Roman"/>
                <w:sz w:val="24"/>
              </w:rPr>
            </w:pPr>
            <w:r>
              <w:rPr>
                <w:rFonts w:ascii="Times New Roman"/>
                <w:sz w:val="24"/>
              </w:rPr>
              <w:t>87</w:t>
            </w:r>
          </w:p>
        </w:tc>
        <w:tc>
          <w:tcPr>
            <w:tcW w:w="3458" w:type="dxa"/>
          </w:tcPr>
          <w:p>
            <w:pPr>
              <w:pStyle w:val="11"/>
              <w:spacing w:before="139"/>
              <w:ind w:left="108"/>
              <w:rPr>
                <w:rFonts w:hint="eastAsia" w:ascii="仿宋" w:eastAsia="仿宋"/>
                <w:b/>
                <w:sz w:val="24"/>
              </w:rPr>
            </w:pPr>
            <w:r>
              <w:rPr>
                <w:rFonts w:hint="eastAsia" w:ascii="仿宋" w:eastAsia="仿宋"/>
                <w:b/>
                <w:sz w:val="24"/>
              </w:rPr>
              <w:t xml:space="preserve">总体癌症 </w:t>
            </w:r>
            <w:r>
              <w:rPr>
                <w:rFonts w:ascii="Times New Roman" w:eastAsia="Times New Roman"/>
                <w:b/>
                <w:sz w:val="24"/>
              </w:rPr>
              <w:t xml:space="preserve">5 </w:t>
            </w:r>
            <w:r>
              <w:rPr>
                <w:rFonts w:hint="eastAsia" w:ascii="仿宋" w:eastAsia="仿宋"/>
                <w:b/>
                <w:sz w:val="24"/>
              </w:rPr>
              <w:t>年生存率（</w:t>
            </w:r>
            <w:r>
              <w:rPr>
                <w:rFonts w:ascii="Times New Roman" w:eastAsia="Times New Roman"/>
                <w:b/>
                <w:sz w:val="24"/>
              </w:rPr>
              <w:t>%</w:t>
            </w:r>
            <w:r>
              <w:rPr>
                <w:rFonts w:hint="eastAsia" w:ascii="仿宋" w:eastAsia="仿宋"/>
                <w:b/>
                <w:sz w:val="24"/>
              </w:rPr>
              <w:t>）</w:t>
            </w:r>
          </w:p>
        </w:tc>
        <w:tc>
          <w:tcPr>
            <w:tcW w:w="1282" w:type="dxa"/>
          </w:tcPr>
          <w:p>
            <w:pPr>
              <w:pStyle w:val="11"/>
              <w:spacing w:before="2"/>
              <w:ind w:left="89" w:right="116"/>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1" w:line="256" w:lineRule="exact"/>
              <w:ind w:left="89" w:right="76"/>
              <w:jc w:val="center"/>
              <w:rPr>
                <w:rFonts w:ascii="Times New Roman"/>
                <w:sz w:val="24"/>
              </w:rPr>
            </w:pPr>
            <w:r>
              <w:rPr>
                <w:rFonts w:ascii="Times New Roman"/>
                <w:sz w:val="24"/>
              </w:rPr>
              <w:t>40.5</w:t>
            </w:r>
          </w:p>
        </w:tc>
        <w:tc>
          <w:tcPr>
            <w:tcW w:w="851" w:type="dxa"/>
          </w:tcPr>
          <w:p>
            <w:pPr>
              <w:pStyle w:val="11"/>
              <w:spacing w:before="155"/>
              <w:ind w:right="132"/>
              <w:jc w:val="right"/>
              <w:rPr>
                <w:rFonts w:ascii="Times New Roman" w:hAnsi="Times New Roman"/>
                <w:sz w:val="24"/>
              </w:rPr>
            </w:pPr>
            <w:r>
              <w:rPr>
                <w:rFonts w:ascii="Times New Roman" w:hAnsi="Times New Roman"/>
                <w:sz w:val="24"/>
              </w:rPr>
              <w:t>≥43.3</w:t>
            </w:r>
          </w:p>
        </w:tc>
        <w:tc>
          <w:tcPr>
            <w:tcW w:w="851" w:type="dxa"/>
          </w:tcPr>
          <w:p>
            <w:pPr>
              <w:pStyle w:val="11"/>
              <w:spacing w:before="155"/>
              <w:ind w:right="134"/>
              <w:jc w:val="right"/>
              <w:rPr>
                <w:rFonts w:ascii="Times New Roman" w:hAnsi="Times New Roman"/>
                <w:sz w:val="24"/>
              </w:rPr>
            </w:pPr>
            <w:r>
              <w:rPr>
                <w:rFonts w:ascii="Times New Roman" w:hAnsi="Times New Roman"/>
                <w:sz w:val="24"/>
              </w:rPr>
              <w:t>≥46.6</w:t>
            </w:r>
          </w:p>
        </w:tc>
        <w:tc>
          <w:tcPr>
            <w:tcW w:w="1050" w:type="dxa"/>
          </w:tcPr>
          <w:p>
            <w:pPr>
              <w:pStyle w:val="11"/>
              <w:spacing w:before="139"/>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tcPr>
          <w:p>
            <w:pPr>
              <w:pStyle w:val="11"/>
              <w:spacing w:before="172"/>
              <w:ind w:left="225"/>
              <w:rPr>
                <w:rFonts w:ascii="Times New Roman"/>
                <w:sz w:val="24"/>
              </w:rPr>
            </w:pPr>
            <w:r>
              <w:rPr>
                <w:rFonts w:ascii="Times New Roman"/>
                <w:sz w:val="24"/>
              </w:rPr>
              <w:t>88</w:t>
            </w:r>
          </w:p>
        </w:tc>
        <w:tc>
          <w:tcPr>
            <w:tcW w:w="3458" w:type="dxa"/>
          </w:tcPr>
          <w:p>
            <w:pPr>
              <w:pStyle w:val="11"/>
              <w:ind w:left="108"/>
              <w:rPr>
                <w:rFonts w:hint="eastAsia" w:ascii="仿宋" w:eastAsia="仿宋"/>
                <w:b/>
                <w:sz w:val="24"/>
              </w:rPr>
            </w:pPr>
            <w:r>
              <w:rPr>
                <w:rFonts w:ascii="Times New Roman" w:eastAsia="Times New Roman"/>
                <w:b/>
                <w:sz w:val="24"/>
              </w:rPr>
              <w:t xml:space="preserve">70 </w:t>
            </w:r>
            <w:r>
              <w:rPr>
                <w:rFonts w:hint="eastAsia" w:ascii="仿宋" w:eastAsia="仿宋"/>
                <w:b/>
                <w:sz w:val="24"/>
              </w:rPr>
              <w:t>岁及以下人群慢性呼吸系统</w:t>
            </w:r>
          </w:p>
          <w:p>
            <w:pPr>
              <w:pStyle w:val="11"/>
              <w:spacing w:before="4" w:line="290" w:lineRule="exact"/>
              <w:ind w:left="108"/>
              <w:rPr>
                <w:rFonts w:hint="eastAsia" w:ascii="仿宋" w:eastAsia="仿宋"/>
                <w:b/>
                <w:sz w:val="24"/>
              </w:rPr>
            </w:pPr>
            <w:r>
              <w:rPr>
                <w:rFonts w:hint="eastAsia" w:ascii="仿宋" w:eastAsia="仿宋"/>
                <w:b/>
                <w:sz w:val="24"/>
              </w:rPr>
              <w:t>疾病死亡率（</w:t>
            </w:r>
            <w:r>
              <w:rPr>
                <w:rFonts w:ascii="Times New Roman" w:eastAsia="Times New Roman"/>
                <w:b/>
                <w:sz w:val="24"/>
              </w:rPr>
              <w:t xml:space="preserve">1/10 </w:t>
            </w:r>
            <w:r>
              <w:rPr>
                <w:rFonts w:hint="eastAsia" w:ascii="仿宋" w:eastAsia="仿宋"/>
                <w:b/>
                <w:sz w:val="24"/>
              </w:rPr>
              <w:t>万）</w:t>
            </w:r>
          </w:p>
        </w:tc>
        <w:tc>
          <w:tcPr>
            <w:tcW w:w="1282" w:type="dxa"/>
          </w:tcPr>
          <w:p>
            <w:pPr>
              <w:pStyle w:val="11"/>
              <w:spacing w:before="19"/>
              <w:ind w:left="89" w:right="116"/>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1" w:line="274" w:lineRule="exact"/>
              <w:ind w:left="89" w:right="76"/>
              <w:jc w:val="center"/>
              <w:rPr>
                <w:rFonts w:ascii="Times New Roman"/>
                <w:sz w:val="24"/>
              </w:rPr>
            </w:pPr>
            <w:r>
              <w:rPr>
                <w:rFonts w:ascii="Times New Roman"/>
                <w:sz w:val="24"/>
              </w:rPr>
              <w:t>10.2</w:t>
            </w:r>
          </w:p>
        </w:tc>
        <w:tc>
          <w:tcPr>
            <w:tcW w:w="851" w:type="dxa"/>
          </w:tcPr>
          <w:p>
            <w:pPr>
              <w:pStyle w:val="11"/>
              <w:spacing w:before="172"/>
              <w:ind w:right="192"/>
              <w:jc w:val="right"/>
              <w:rPr>
                <w:rFonts w:ascii="Times New Roman" w:hAnsi="Times New Roman"/>
                <w:sz w:val="24"/>
              </w:rPr>
            </w:pPr>
            <w:r>
              <w:rPr>
                <w:rFonts w:ascii="Times New Roman" w:hAnsi="Times New Roman"/>
                <w:sz w:val="24"/>
              </w:rPr>
              <w:t>≤9.0</w:t>
            </w:r>
          </w:p>
        </w:tc>
        <w:tc>
          <w:tcPr>
            <w:tcW w:w="851" w:type="dxa"/>
          </w:tcPr>
          <w:p>
            <w:pPr>
              <w:pStyle w:val="11"/>
              <w:spacing w:before="172"/>
              <w:ind w:left="210"/>
              <w:rPr>
                <w:rFonts w:ascii="Times New Roman" w:hAnsi="Times New Roman"/>
                <w:sz w:val="24"/>
              </w:rPr>
            </w:pPr>
            <w:r>
              <w:rPr>
                <w:rFonts w:ascii="Times New Roman" w:hAnsi="Times New Roman"/>
                <w:sz w:val="24"/>
              </w:rPr>
              <w:t>≤8.1</w:t>
            </w:r>
          </w:p>
        </w:tc>
        <w:tc>
          <w:tcPr>
            <w:tcW w:w="1050" w:type="dxa"/>
          </w:tcPr>
          <w:p>
            <w:pPr>
              <w:pStyle w:val="11"/>
              <w:spacing w:before="156"/>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0"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spacing w:before="7"/>
              <w:rPr>
                <w:rFonts w:ascii="宋体"/>
                <w:b/>
                <w:sz w:val="19"/>
              </w:rPr>
            </w:pPr>
          </w:p>
          <w:p>
            <w:pPr>
              <w:pStyle w:val="11"/>
              <w:ind w:left="225"/>
              <w:rPr>
                <w:rFonts w:ascii="Times New Roman"/>
                <w:sz w:val="24"/>
              </w:rPr>
            </w:pPr>
            <w:r>
              <w:rPr>
                <w:rFonts w:ascii="Times New Roman"/>
                <w:sz w:val="24"/>
              </w:rPr>
              <w:t>89</w:t>
            </w:r>
          </w:p>
        </w:tc>
        <w:tc>
          <w:tcPr>
            <w:tcW w:w="3458" w:type="dxa"/>
          </w:tcPr>
          <w:p>
            <w:pPr>
              <w:pStyle w:val="11"/>
              <w:spacing w:before="18" w:line="249" w:lineRule="auto"/>
              <w:ind w:left="108" w:right="78"/>
              <w:jc w:val="both"/>
              <w:rPr>
                <w:rFonts w:hint="eastAsia" w:ascii="仿宋" w:eastAsia="仿宋"/>
                <w:b/>
                <w:sz w:val="24"/>
              </w:rPr>
            </w:pPr>
            <w:r>
              <w:rPr>
                <w:rFonts w:ascii="Times New Roman" w:eastAsia="Times New Roman"/>
                <w:b/>
                <w:sz w:val="24"/>
              </w:rPr>
              <w:t xml:space="preserve">30 </w:t>
            </w:r>
            <w:r>
              <w:rPr>
                <w:rFonts w:hint="eastAsia" w:ascii="仿宋" w:eastAsia="仿宋"/>
                <w:b/>
                <w:sz w:val="24"/>
              </w:rPr>
              <w:t>～</w:t>
            </w:r>
            <w:r>
              <w:rPr>
                <w:rFonts w:hint="eastAsia" w:ascii="仿宋" w:eastAsia="仿宋"/>
                <w:b/>
                <w:spacing w:val="-95"/>
                <w:sz w:val="24"/>
              </w:rPr>
              <w:t xml:space="preserve"> </w:t>
            </w:r>
            <w:r>
              <w:rPr>
                <w:rFonts w:ascii="Times New Roman" w:eastAsia="Times New Roman"/>
                <w:b/>
                <w:sz w:val="24"/>
              </w:rPr>
              <w:t xml:space="preserve">70 </w:t>
            </w:r>
            <w:r>
              <w:rPr>
                <w:rFonts w:hint="eastAsia" w:ascii="仿宋" w:eastAsia="仿宋"/>
                <w:b/>
                <w:spacing w:val="24"/>
                <w:sz w:val="24"/>
              </w:rPr>
              <w:t>岁人群因心脑血管疾</w:t>
            </w:r>
            <w:r>
              <w:rPr>
                <w:rFonts w:hint="eastAsia" w:ascii="仿宋" w:eastAsia="仿宋"/>
                <w:b/>
                <w:spacing w:val="7"/>
                <w:sz w:val="24"/>
              </w:rPr>
              <w:t>病、癌症、慢性呼吸系统疾病</w:t>
            </w:r>
            <w:r>
              <w:rPr>
                <w:rFonts w:hint="eastAsia" w:ascii="仿宋" w:eastAsia="仿宋"/>
                <w:b/>
                <w:spacing w:val="30"/>
                <w:w w:val="95"/>
                <w:sz w:val="24"/>
              </w:rPr>
              <w:t>和糖尿病导致的过早死亡率</w:t>
            </w:r>
          </w:p>
          <w:p>
            <w:pPr>
              <w:pStyle w:val="11"/>
              <w:spacing w:before="1" w:line="282" w:lineRule="exact"/>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1"/>
              <w:rPr>
                <w:rFonts w:ascii="宋体"/>
                <w:b/>
                <w:sz w:val="27"/>
              </w:rPr>
            </w:pPr>
          </w:p>
          <w:p>
            <w:pPr>
              <w:pStyle w:val="11"/>
              <w:ind w:left="89" w:right="116"/>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3"/>
              <w:ind w:left="89" w:right="76"/>
              <w:jc w:val="center"/>
              <w:rPr>
                <w:rFonts w:ascii="Times New Roman"/>
                <w:sz w:val="24"/>
              </w:rPr>
            </w:pPr>
            <w:r>
              <w:rPr>
                <w:rFonts w:ascii="Times New Roman"/>
                <w:sz w:val="24"/>
              </w:rPr>
              <w:t>18.5</w:t>
            </w:r>
          </w:p>
        </w:tc>
        <w:tc>
          <w:tcPr>
            <w:tcW w:w="851" w:type="dxa"/>
          </w:tcPr>
          <w:p>
            <w:pPr>
              <w:pStyle w:val="11"/>
              <w:rPr>
                <w:rFonts w:ascii="宋体"/>
                <w:b/>
                <w:sz w:val="26"/>
              </w:rPr>
            </w:pPr>
          </w:p>
          <w:p>
            <w:pPr>
              <w:pStyle w:val="11"/>
              <w:spacing w:before="169"/>
              <w:ind w:right="132"/>
              <w:jc w:val="right"/>
              <w:rPr>
                <w:rFonts w:ascii="Times New Roman" w:hAnsi="Times New Roman"/>
                <w:sz w:val="24"/>
              </w:rPr>
            </w:pPr>
            <w:r>
              <w:rPr>
                <w:rFonts w:ascii="Times New Roman" w:hAnsi="Times New Roman"/>
                <w:sz w:val="24"/>
              </w:rPr>
              <w:t>≤15.9</w:t>
            </w:r>
          </w:p>
        </w:tc>
        <w:tc>
          <w:tcPr>
            <w:tcW w:w="851" w:type="dxa"/>
          </w:tcPr>
          <w:p>
            <w:pPr>
              <w:pStyle w:val="11"/>
              <w:rPr>
                <w:rFonts w:ascii="宋体"/>
                <w:b/>
                <w:sz w:val="26"/>
              </w:rPr>
            </w:pPr>
          </w:p>
          <w:p>
            <w:pPr>
              <w:pStyle w:val="11"/>
              <w:spacing w:before="169"/>
              <w:ind w:right="134"/>
              <w:jc w:val="right"/>
              <w:rPr>
                <w:rFonts w:ascii="Times New Roman" w:hAnsi="Times New Roman"/>
                <w:sz w:val="24"/>
              </w:rPr>
            </w:pPr>
            <w:r>
              <w:rPr>
                <w:rFonts w:ascii="Times New Roman" w:hAnsi="Times New Roman"/>
                <w:sz w:val="24"/>
              </w:rPr>
              <w:t>≤13.0</w:t>
            </w:r>
          </w:p>
        </w:tc>
        <w:tc>
          <w:tcPr>
            <w:tcW w:w="1050" w:type="dxa"/>
          </w:tcPr>
          <w:p>
            <w:pPr>
              <w:pStyle w:val="11"/>
              <w:rPr>
                <w:rFonts w:ascii="宋体"/>
                <w:b/>
                <w:sz w:val="24"/>
              </w:rPr>
            </w:pPr>
          </w:p>
          <w:p>
            <w:pPr>
              <w:pStyle w:val="11"/>
              <w:spacing w:before="179"/>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42" w:lineRule="auto"/>
              <w:ind w:left="108" w:right="87"/>
              <w:rPr>
                <w:sz w:val="21"/>
              </w:rPr>
            </w:pPr>
            <w:r>
              <w:rPr>
                <w:spacing w:val="-9"/>
                <w:sz w:val="21"/>
              </w:rPr>
              <w:t xml:space="preserve">说明：指 </w:t>
            </w:r>
            <w:r>
              <w:rPr>
                <w:rFonts w:ascii="Times New Roman" w:eastAsia="Times New Roman"/>
                <w:sz w:val="21"/>
              </w:rPr>
              <w:t>30</w:t>
            </w:r>
            <w:r>
              <w:rPr>
                <w:sz w:val="21"/>
              </w:rPr>
              <w:t>～</w:t>
            </w:r>
            <w:r>
              <w:rPr>
                <w:rFonts w:ascii="Times New Roman" w:eastAsia="Times New Roman"/>
                <w:sz w:val="21"/>
              </w:rPr>
              <w:t xml:space="preserve">70 </w:t>
            </w:r>
            <w:r>
              <w:rPr>
                <w:sz w:val="21"/>
              </w:rPr>
              <w:t>岁人群因心脑血管疾病、癌症、慢性呼吸系统疾病和糖尿病死</w:t>
            </w:r>
            <w:r>
              <w:rPr>
                <w:spacing w:val="-7"/>
                <w:sz w:val="21"/>
              </w:rPr>
              <w:t xml:space="preserve">亡的概率。根据世界卫生组织及各国统计数据，美国为 </w:t>
            </w:r>
            <w:r>
              <w:rPr>
                <w:rFonts w:ascii="Times New Roman" w:eastAsia="Times New Roman"/>
                <w:sz w:val="21"/>
              </w:rPr>
              <w:t>14.3%</w:t>
            </w:r>
            <w:r>
              <w:rPr>
                <w:spacing w:val="-14"/>
                <w:sz w:val="21"/>
              </w:rPr>
              <w:t xml:space="preserve">，英国为 </w:t>
            </w:r>
            <w:r>
              <w:rPr>
                <w:rFonts w:ascii="Times New Roman" w:eastAsia="Times New Roman"/>
                <w:spacing w:val="-3"/>
                <w:sz w:val="21"/>
              </w:rPr>
              <w:t>12%</w:t>
            </w:r>
            <w:r>
              <w:rPr>
                <w:spacing w:val="-2"/>
                <w:sz w:val="21"/>
              </w:rPr>
              <w:t>，俄</w:t>
            </w:r>
          </w:p>
          <w:p>
            <w:pPr>
              <w:pStyle w:val="11"/>
              <w:spacing w:before="1" w:line="252" w:lineRule="exact"/>
              <w:ind w:left="108"/>
              <w:rPr>
                <w:sz w:val="21"/>
              </w:rPr>
            </w:pPr>
            <w:r>
              <w:rPr>
                <w:sz w:val="21"/>
              </w:rPr>
              <w:t xml:space="preserve">罗斯为 </w:t>
            </w:r>
            <w:r>
              <w:rPr>
                <w:rFonts w:ascii="Times New Roman" w:eastAsia="Times New Roman"/>
                <w:sz w:val="21"/>
              </w:rPr>
              <w:t>29.9%</w:t>
            </w:r>
            <w:r>
              <w:rPr>
                <w:sz w:val="21"/>
              </w:rPr>
              <w:t xml:space="preserve">，印度为 </w:t>
            </w:r>
            <w:r>
              <w:rPr>
                <w:rFonts w:ascii="Times New Roman" w:eastAsia="Times New Roman"/>
                <w:sz w:val="21"/>
              </w:rPr>
              <w:t>26.2%</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6" w:hRule="atLeast"/>
        </w:trPr>
        <w:tc>
          <w:tcPr>
            <w:tcW w:w="695" w:type="dxa"/>
            <w:vMerge w:val="continue"/>
            <w:tcBorders>
              <w:top w:val="nil"/>
            </w:tcBorders>
          </w:tcPr>
          <w:p>
            <w:pPr>
              <w:rPr>
                <w:sz w:val="2"/>
                <w:szCs w:val="2"/>
              </w:rPr>
            </w:pPr>
          </w:p>
        </w:tc>
        <w:tc>
          <w:tcPr>
            <w:tcW w:w="8185" w:type="dxa"/>
            <w:gridSpan w:val="6"/>
          </w:tcPr>
          <w:p>
            <w:pPr>
              <w:pStyle w:val="11"/>
              <w:spacing w:before="62"/>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1" w:hRule="atLeast"/>
        </w:trPr>
        <w:tc>
          <w:tcPr>
            <w:tcW w:w="695" w:type="dxa"/>
            <w:vMerge w:val="continue"/>
            <w:tcBorders>
              <w:top w:val="nil"/>
            </w:tcBorders>
          </w:tcPr>
          <w:p>
            <w:pPr>
              <w:rPr>
                <w:sz w:val="2"/>
                <w:szCs w:val="2"/>
              </w:rPr>
            </w:pPr>
          </w:p>
        </w:tc>
        <w:tc>
          <w:tcPr>
            <w:tcW w:w="693" w:type="dxa"/>
          </w:tcPr>
          <w:p>
            <w:pPr>
              <w:pStyle w:val="11"/>
              <w:spacing w:before="60"/>
              <w:ind w:left="225"/>
              <w:rPr>
                <w:rFonts w:ascii="Times New Roman"/>
                <w:sz w:val="24"/>
              </w:rPr>
            </w:pPr>
            <w:r>
              <w:rPr>
                <w:rFonts w:ascii="Times New Roman"/>
                <w:sz w:val="24"/>
              </w:rPr>
              <w:t>90</w:t>
            </w:r>
          </w:p>
        </w:tc>
        <w:tc>
          <w:tcPr>
            <w:tcW w:w="3458" w:type="dxa"/>
          </w:tcPr>
          <w:p>
            <w:pPr>
              <w:pStyle w:val="11"/>
              <w:spacing w:before="44"/>
              <w:ind w:left="108"/>
              <w:rPr>
                <w:rFonts w:hint="eastAsia" w:ascii="仿宋" w:eastAsia="仿宋"/>
                <w:b/>
                <w:sz w:val="24"/>
              </w:rPr>
            </w:pPr>
            <w:r>
              <w:rPr>
                <w:rFonts w:hint="eastAsia" w:ascii="仿宋" w:eastAsia="仿宋"/>
                <w:b/>
                <w:sz w:val="24"/>
              </w:rPr>
              <w:t>人群健康体检率（</w:t>
            </w:r>
            <w:r>
              <w:rPr>
                <w:rFonts w:ascii="Times New Roman" w:eastAsia="Times New Roman"/>
                <w:b/>
                <w:sz w:val="24"/>
              </w:rPr>
              <w:t>%</w:t>
            </w:r>
            <w:r>
              <w:rPr>
                <w:rFonts w:hint="eastAsia" w:ascii="仿宋" w:eastAsia="仿宋"/>
                <w:b/>
                <w:sz w:val="24"/>
              </w:rPr>
              <w:t>）</w:t>
            </w:r>
          </w:p>
        </w:tc>
        <w:tc>
          <w:tcPr>
            <w:tcW w:w="1282" w:type="dxa"/>
          </w:tcPr>
          <w:p>
            <w:pPr>
              <w:pStyle w:val="11"/>
              <w:spacing w:before="60"/>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90" w:line="291" w:lineRule="exact"/>
              <w:ind w:left="369"/>
              <w:rPr>
                <w:rFonts w:hint="eastAsia" w:ascii="仿宋" w:eastAsia="仿宋"/>
                <w:sz w:val="24"/>
              </w:rPr>
            </w:pPr>
            <w:r>
              <w:rPr>
                <w:rFonts w:hint="eastAsia" w:ascii="仿宋" w:eastAsia="仿宋"/>
                <w:sz w:val="24"/>
              </w:rPr>
              <w:t>持续提高</w:t>
            </w:r>
          </w:p>
        </w:tc>
        <w:tc>
          <w:tcPr>
            <w:tcW w:w="1050" w:type="dxa"/>
          </w:tcPr>
          <w:p>
            <w:pPr>
              <w:pStyle w:val="11"/>
              <w:spacing w:before="44"/>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1" w:hRule="atLeast"/>
        </w:trPr>
        <w:tc>
          <w:tcPr>
            <w:tcW w:w="695" w:type="dxa"/>
            <w:vMerge w:val="continue"/>
            <w:tcBorders>
              <w:top w:val="nil"/>
            </w:tcBorders>
          </w:tcPr>
          <w:p>
            <w:pPr>
              <w:rPr>
                <w:sz w:val="2"/>
                <w:szCs w:val="2"/>
              </w:rPr>
            </w:pPr>
          </w:p>
        </w:tc>
        <w:tc>
          <w:tcPr>
            <w:tcW w:w="693" w:type="dxa"/>
            <w:vMerge w:val="restart"/>
          </w:tcPr>
          <w:p>
            <w:pPr>
              <w:pStyle w:val="11"/>
              <w:spacing w:before="2"/>
              <w:rPr>
                <w:rFonts w:ascii="宋体"/>
                <w:b/>
                <w:sz w:val="35"/>
              </w:rPr>
            </w:pPr>
          </w:p>
          <w:p>
            <w:pPr>
              <w:pStyle w:val="11"/>
              <w:ind w:left="225"/>
              <w:rPr>
                <w:rFonts w:ascii="Times New Roman"/>
                <w:sz w:val="24"/>
              </w:rPr>
            </w:pPr>
            <w:r>
              <w:rPr>
                <w:rFonts w:ascii="Times New Roman"/>
                <w:sz w:val="24"/>
              </w:rPr>
              <w:t>91</w:t>
            </w:r>
          </w:p>
        </w:tc>
        <w:tc>
          <w:tcPr>
            <w:tcW w:w="6442" w:type="dxa"/>
            <w:gridSpan w:val="4"/>
          </w:tcPr>
          <w:p>
            <w:pPr>
              <w:pStyle w:val="11"/>
              <w:ind w:left="108"/>
              <w:rPr>
                <w:rFonts w:hint="eastAsia" w:ascii="仿宋" w:eastAsia="仿宋"/>
                <w:b/>
                <w:sz w:val="24"/>
              </w:rPr>
            </w:pPr>
            <w:r>
              <w:rPr>
                <w:rFonts w:ascii="Times New Roman" w:eastAsia="Times New Roman"/>
                <w:b/>
                <w:sz w:val="24"/>
              </w:rPr>
              <w:t xml:space="preserve">18 </w:t>
            </w:r>
            <w:r>
              <w:rPr>
                <w:rFonts w:hint="eastAsia" w:ascii="仿宋" w:eastAsia="仿宋"/>
                <w:b/>
                <w:spacing w:val="-7"/>
                <w:sz w:val="24"/>
              </w:rPr>
              <w:t>岁及以上成人定期自我监测血压，血压正常高值人群和其</w:t>
            </w:r>
          </w:p>
          <w:p>
            <w:pPr>
              <w:pStyle w:val="11"/>
              <w:spacing w:before="5" w:line="289" w:lineRule="exact"/>
              <w:ind w:left="108"/>
              <w:rPr>
                <w:rFonts w:hint="eastAsia" w:ascii="仿宋" w:eastAsia="仿宋"/>
                <w:b/>
                <w:sz w:val="24"/>
              </w:rPr>
            </w:pPr>
            <w:r>
              <w:rPr>
                <w:rFonts w:hint="eastAsia" w:ascii="仿宋" w:eastAsia="仿宋"/>
                <w:b/>
                <w:sz w:val="24"/>
              </w:rPr>
              <w:t>他高危人群经常测量血压</w:t>
            </w:r>
          </w:p>
        </w:tc>
        <w:tc>
          <w:tcPr>
            <w:tcW w:w="1050" w:type="dxa"/>
          </w:tcPr>
          <w:p>
            <w:pPr>
              <w:pStyle w:val="11"/>
              <w:spacing w:before="156"/>
              <w:ind w:left="107"/>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ind w:left="108"/>
              <w:rPr>
                <w:sz w:val="21"/>
              </w:rPr>
            </w:pPr>
            <w:r>
              <w:rPr>
                <w:sz w:val="21"/>
              </w:rPr>
              <w:t xml:space="preserve">说明：血压正常高值在医学上是指收缩压介于 </w:t>
            </w:r>
            <w:r>
              <w:rPr>
                <w:rFonts w:ascii="Times New Roman" w:eastAsia="Times New Roman"/>
                <w:sz w:val="21"/>
              </w:rPr>
              <w:t>120</w:t>
            </w:r>
            <w:r>
              <w:rPr>
                <w:sz w:val="21"/>
              </w:rPr>
              <w:t>～</w:t>
            </w:r>
            <w:r>
              <w:rPr>
                <w:rFonts w:ascii="Times New Roman" w:eastAsia="Times New Roman"/>
                <w:sz w:val="21"/>
              </w:rPr>
              <w:t xml:space="preserve">139 mmHg </w:t>
            </w:r>
            <w:r>
              <w:rPr>
                <w:sz w:val="21"/>
              </w:rPr>
              <w:t>之间，和（或）</w:t>
            </w:r>
          </w:p>
          <w:p>
            <w:pPr>
              <w:pStyle w:val="11"/>
              <w:spacing w:before="2" w:line="253" w:lineRule="exact"/>
              <w:ind w:left="108"/>
              <w:rPr>
                <w:sz w:val="21"/>
              </w:rPr>
            </w:pPr>
            <w:r>
              <w:rPr>
                <w:sz w:val="21"/>
              </w:rPr>
              <w:t xml:space="preserve">舒张压介于 </w:t>
            </w:r>
            <w:r>
              <w:rPr>
                <w:rFonts w:ascii="Times New Roman" w:eastAsia="Times New Roman"/>
                <w:sz w:val="21"/>
              </w:rPr>
              <w:t>80</w:t>
            </w:r>
            <w:r>
              <w:rPr>
                <w:sz w:val="21"/>
              </w:rPr>
              <w:t>～</w:t>
            </w:r>
            <w:r>
              <w:rPr>
                <w:rFonts w:ascii="Times New Roman" w:eastAsia="Times New Roman"/>
                <w:sz w:val="21"/>
              </w:rPr>
              <w:t xml:space="preserve">89 mmHg </w:t>
            </w:r>
            <w:r>
              <w:rPr>
                <w:sz w:val="21"/>
              </w:rPr>
              <w:t>之间的情况。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3" w:hRule="atLeast"/>
        </w:trPr>
        <w:tc>
          <w:tcPr>
            <w:tcW w:w="695" w:type="dxa"/>
            <w:vMerge w:val="continue"/>
            <w:tcBorders>
              <w:top w:val="nil"/>
            </w:tcBorders>
          </w:tcPr>
          <w:p>
            <w:pPr>
              <w:rPr>
                <w:sz w:val="2"/>
                <w:szCs w:val="2"/>
              </w:rPr>
            </w:pPr>
          </w:p>
        </w:tc>
        <w:tc>
          <w:tcPr>
            <w:tcW w:w="693" w:type="dxa"/>
          </w:tcPr>
          <w:p>
            <w:pPr>
              <w:pStyle w:val="11"/>
              <w:spacing w:before="6"/>
              <w:rPr>
                <w:rFonts w:ascii="宋体"/>
                <w:b/>
                <w:sz w:val="25"/>
              </w:rPr>
            </w:pPr>
          </w:p>
          <w:p>
            <w:pPr>
              <w:pStyle w:val="11"/>
              <w:ind w:left="225"/>
              <w:rPr>
                <w:rFonts w:ascii="Times New Roman"/>
                <w:sz w:val="24"/>
              </w:rPr>
            </w:pPr>
            <w:r>
              <w:rPr>
                <w:rFonts w:ascii="Times New Roman"/>
                <w:sz w:val="24"/>
              </w:rPr>
              <w:t>92</w:t>
            </w:r>
          </w:p>
        </w:tc>
        <w:tc>
          <w:tcPr>
            <w:tcW w:w="6442" w:type="dxa"/>
            <w:gridSpan w:val="4"/>
          </w:tcPr>
          <w:p>
            <w:pPr>
              <w:pStyle w:val="11"/>
              <w:spacing w:before="1" w:line="242" w:lineRule="auto"/>
              <w:ind w:left="108" w:right="74"/>
              <w:rPr>
                <w:rFonts w:ascii="Times New Roman" w:eastAsia="Times New Roman"/>
                <w:b/>
                <w:sz w:val="24"/>
              </w:rPr>
            </w:pPr>
            <w:r>
              <w:rPr>
                <w:rFonts w:ascii="Times New Roman" w:eastAsia="Times New Roman"/>
                <w:b/>
                <w:sz w:val="24"/>
              </w:rPr>
              <w:t xml:space="preserve">40 </w:t>
            </w:r>
            <w:r>
              <w:rPr>
                <w:rFonts w:hint="eastAsia" w:ascii="仿宋" w:eastAsia="仿宋"/>
                <w:b/>
                <w:spacing w:val="-6"/>
                <w:sz w:val="24"/>
              </w:rPr>
              <w:t xml:space="preserve">岁以下血脂正常人群每 </w:t>
            </w:r>
            <w:r>
              <w:rPr>
                <w:rFonts w:ascii="Times New Roman" w:eastAsia="Times New Roman"/>
                <w:b/>
                <w:sz w:val="24"/>
              </w:rPr>
              <w:t>2</w:t>
            </w:r>
            <w:r>
              <w:rPr>
                <w:rFonts w:hint="eastAsia" w:ascii="仿宋" w:eastAsia="仿宋"/>
                <w:b/>
                <w:sz w:val="24"/>
              </w:rPr>
              <w:t>～</w:t>
            </w:r>
            <w:r>
              <w:rPr>
                <w:rFonts w:ascii="Times New Roman" w:eastAsia="Times New Roman"/>
                <w:b/>
                <w:sz w:val="24"/>
              </w:rPr>
              <w:t xml:space="preserve">5 </w:t>
            </w:r>
            <w:r>
              <w:rPr>
                <w:rFonts w:hint="eastAsia" w:ascii="仿宋" w:eastAsia="仿宋"/>
                <w:b/>
                <w:spacing w:val="-15"/>
                <w:sz w:val="24"/>
              </w:rPr>
              <w:t xml:space="preserve">年检测 </w:t>
            </w:r>
            <w:r>
              <w:rPr>
                <w:rFonts w:ascii="Times New Roman" w:eastAsia="Times New Roman"/>
                <w:b/>
                <w:sz w:val="24"/>
              </w:rPr>
              <w:t xml:space="preserve">1 </w:t>
            </w:r>
            <w:r>
              <w:rPr>
                <w:rFonts w:hint="eastAsia" w:ascii="仿宋" w:eastAsia="仿宋"/>
                <w:b/>
                <w:spacing w:val="-3"/>
                <w:sz w:val="24"/>
              </w:rPr>
              <w:t>次血脂，</w:t>
            </w:r>
            <w:r>
              <w:rPr>
                <w:rFonts w:ascii="Times New Roman" w:eastAsia="Times New Roman"/>
                <w:b/>
                <w:spacing w:val="-12"/>
                <w:sz w:val="24"/>
              </w:rPr>
              <w:t xml:space="preserve">40 </w:t>
            </w:r>
            <w:r>
              <w:rPr>
                <w:rFonts w:hint="eastAsia" w:ascii="仿宋" w:eastAsia="仿宋"/>
                <w:b/>
                <w:spacing w:val="-4"/>
                <w:sz w:val="24"/>
              </w:rPr>
              <w:t>岁及以</w:t>
            </w:r>
            <w:r>
              <w:rPr>
                <w:rFonts w:hint="eastAsia" w:ascii="仿宋" w:eastAsia="仿宋"/>
                <w:b/>
                <w:spacing w:val="-6"/>
                <w:sz w:val="24"/>
              </w:rPr>
              <w:t xml:space="preserve">上人群至少每年检测 </w:t>
            </w:r>
            <w:r>
              <w:rPr>
                <w:rFonts w:ascii="Times New Roman" w:eastAsia="Times New Roman"/>
                <w:b/>
                <w:sz w:val="24"/>
              </w:rPr>
              <w:t xml:space="preserve">1 </w:t>
            </w:r>
            <w:r>
              <w:rPr>
                <w:rFonts w:hint="eastAsia" w:ascii="仿宋" w:eastAsia="仿宋"/>
                <w:b/>
                <w:spacing w:val="-4"/>
                <w:sz w:val="24"/>
              </w:rPr>
              <w:t xml:space="preserve">次血脂，心脑血管疾病高危人群每 </w:t>
            </w:r>
            <w:r>
              <w:rPr>
                <w:rFonts w:ascii="Times New Roman" w:eastAsia="Times New Roman"/>
                <w:b/>
                <w:sz w:val="24"/>
              </w:rPr>
              <w:t>6</w:t>
            </w:r>
          </w:p>
          <w:p>
            <w:pPr>
              <w:pStyle w:val="11"/>
              <w:spacing w:line="290" w:lineRule="exact"/>
              <w:ind w:left="108"/>
              <w:rPr>
                <w:rFonts w:hint="eastAsia" w:ascii="仿宋" w:eastAsia="仿宋"/>
                <w:b/>
                <w:sz w:val="24"/>
              </w:rPr>
            </w:pPr>
            <w:r>
              <w:rPr>
                <w:rFonts w:hint="eastAsia" w:ascii="仿宋" w:eastAsia="仿宋"/>
                <w:b/>
                <w:sz w:val="24"/>
              </w:rPr>
              <w:t xml:space="preserve">个月检测 </w:t>
            </w:r>
            <w:r>
              <w:rPr>
                <w:rFonts w:ascii="Times New Roman" w:eastAsia="Times New Roman"/>
                <w:b/>
                <w:sz w:val="24"/>
              </w:rPr>
              <w:t xml:space="preserve">1 </w:t>
            </w:r>
            <w:r>
              <w:rPr>
                <w:rFonts w:hint="eastAsia" w:ascii="仿宋" w:eastAsia="仿宋"/>
                <w:b/>
                <w:sz w:val="24"/>
              </w:rPr>
              <w:t>次血脂</w:t>
            </w:r>
          </w:p>
        </w:tc>
        <w:tc>
          <w:tcPr>
            <w:tcW w:w="1050" w:type="dxa"/>
          </w:tcPr>
          <w:p>
            <w:pPr>
              <w:pStyle w:val="11"/>
              <w:spacing w:before="3"/>
              <w:rPr>
                <w:rFonts w:ascii="宋体"/>
                <w:b/>
                <w:sz w:val="24"/>
              </w:rPr>
            </w:pPr>
          </w:p>
          <w:p>
            <w:pPr>
              <w:pStyle w:val="11"/>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spacing w:before="5"/>
              <w:rPr>
                <w:rFonts w:ascii="宋体"/>
                <w:b/>
                <w:sz w:val="35"/>
              </w:rPr>
            </w:pPr>
          </w:p>
          <w:p>
            <w:pPr>
              <w:pStyle w:val="11"/>
              <w:ind w:left="225"/>
              <w:rPr>
                <w:rFonts w:ascii="Times New Roman"/>
                <w:sz w:val="24"/>
              </w:rPr>
            </w:pPr>
            <w:r>
              <w:rPr>
                <w:rFonts w:ascii="Times New Roman"/>
                <w:sz w:val="24"/>
              </w:rPr>
              <w:t>93</w:t>
            </w:r>
          </w:p>
        </w:tc>
        <w:tc>
          <w:tcPr>
            <w:tcW w:w="6442" w:type="dxa"/>
            <w:gridSpan w:val="4"/>
          </w:tcPr>
          <w:p>
            <w:pPr>
              <w:pStyle w:val="11"/>
              <w:spacing w:before="1"/>
              <w:ind w:left="108"/>
              <w:rPr>
                <w:rFonts w:hint="eastAsia" w:ascii="仿宋" w:eastAsia="仿宋"/>
                <w:b/>
                <w:sz w:val="24"/>
              </w:rPr>
            </w:pPr>
            <w:r>
              <w:rPr>
                <w:rFonts w:hint="eastAsia" w:ascii="仿宋" w:eastAsia="仿宋"/>
                <w:b/>
                <w:sz w:val="24"/>
              </w:rPr>
              <w:t xml:space="preserve">基本实现 </w:t>
            </w:r>
            <w:r>
              <w:rPr>
                <w:rFonts w:ascii="Times New Roman" w:eastAsia="Times New Roman"/>
                <w:b/>
                <w:sz w:val="24"/>
              </w:rPr>
              <w:t xml:space="preserve">40 </w:t>
            </w:r>
            <w:r>
              <w:rPr>
                <w:rFonts w:hint="eastAsia" w:ascii="仿宋" w:eastAsia="仿宋"/>
                <w:b/>
                <w:sz w:val="24"/>
              </w:rPr>
              <w:t xml:space="preserve">岁及以上人群每年至少检测 </w:t>
            </w:r>
            <w:r>
              <w:rPr>
                <w:rFonts w:ascii="Times New Roman" w:eastAsia="Times New Roman"/>
                <w:b/>
                <w:sz w:val="24"/>
              </w:rPr>
              <w:t xml:space="preserve">1 </w:t>
            </w:r>
            <w:r>
              <w:rPr>
                <w:rFonts w:hint="eastAsia" w:ascii="仿宋" w:eastAsia="仿宋"/>
                <w:b/>
                <w:sz w:val="24"/>
              </w:rPr>
              <w:t>次空腹血糖，糖</w:t>
            </w:r>
          </w:p>
          <w:p>
            <w:pPr>
              <w:pStyle w:val="11"/>
              <w:spacing w:before="5" w:line="290" w:lineRule="exact"/>
              <w:ind w:left="108"/>
              <w:rPr>
                <w:rFonts w:hint="eastAsia" w:ascii="仿宋" w:eastAsia="仿宋"/>
                <w:b/>
                <w:sz w:val="24"/>
              </w:rPr>
            </w:pPr>
            <w:r>
              <w:rPr>
                <w:rFonts w:hint="eastAsia" w:ascii="仿宋" w:eastAsia="仿宋"/>
                <w:b/>
                <w:sz w:val="24"/>
              </w:rPr>
              <w:t xml:space="preserve">尿病前期人群每 </w:t>
            </w:r>
            <w:r>
              <w:rPr>
                <w:rFonts w:ascii="Times New Roman" w:eastAsia="Times New Roman"/>
                <w:b/>
                <w:sz w:val="24"/>
              </w:rPr>
              <w:t xml:space="preserve">6 </w:t>
            </w:r>
            <w:r>
              <w:rPr>
                <w:rFonts w:hint="eastAsia" w:ascii="仿宋" w:eastAsia="仿宋"/>
                <w:b/>
                <w:sz w:val="24"/>
              </w:rPr>
              <w:t xml:space="preserve">个月检测 </w:t>
            </w:r>
            <w:r>
              <w:rPr>
                <w:rFonts w:ascii="Times New Roman" w:eastAsia="Times New Roman"/>
                <w:b/>
                <w:sz w:val="24"/>
              </w:rPr>
              <w:t xml:space="preserve">1 </w:t>
            </w:r>
            <w:r>
              <w:rPr>
                <w:rFonts w:hint="eastAsia" w:ascii="仿宋" w:eastAsia="仿宋"/>
                <w:b/>
                <w:sz w:val="24"/>
              </w:rPr>
              <w:t xml:space="preserve">次空腹或餐后 </w:t>
            </w:r>
            <w:r>
              <w:rPr>
                <w:rFonts w:ascii="Times New Roman" w:eastAsia="Times New Roman"/>
                <w:b/>
                <w:sz w:val="24"/>
              </w:rPr>
              <w:t xml:space="preserve">2 </w:t>
            </w:r>
            <w:r>
              <w:rPr>
                <w:rFonts w:hint="eastAsia" w:ascii="仿宋" w:eastAsia="仿宋"/>
                <w:b/>
                <w:sz w:val="24"/>
              </w:rPr>
              <w:t>小时血糖</w:t>
            </w:r>
          </w:p>
        </w:tc>
        <w:tc>
          <w:tcPr>
            <w:tcW w:w="1050" w:type="dxa"/>
          </w:tcPr>
          <w:p>
            <w:pPr>
              <w:pStyle w:val="11"/>
              <w:spacing w:before="157"/>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ind w:left="108"/>
              <w:rPr>
                <w:sz w:val="21"/>
              </w:rPr>
            </w:pPr>
            <w:r>
              <w:rPr>
                <w:sz w:val="21"/>
              </w:rPr>
              <w:t>说明：糖尿病前期人群是指空腹血糖受损或糖耐量异常，但未达到糖尿病诊断标</w:t>
            </w:r>
          </w:p>
          <w:p>
            <w:pPr>
              <w:pStyle w:val="11"/>
              <w:spacing w:before="2" w:line="253" w:lineRule="exact"/>
              <w:ind w:left="108"/>
              <w:rPr>
                <w:sz w:val="21"/>
              </w:rPr>
            </w:pPr>
            <w:r>
              <w:rPr>
                <w:sz w:val="21"/>
              </w:rPr>
              <w:t>准的人群，血糖轻微升高，无明显症状，但存在糖尿病高患病风险的人群。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8" w:hRule="atLeast"/>
        </w:trPr>
        <w:tc>
          <w:tcPr>
            <w:tcW w:w="695" w:type="dxa"/>
            <w:vMerge w:val="continue"/>
            <w:tcBorders>
              <w:top w:val="nil"/>
            </w:tcBorders>
          </w:tcPr>
          <w:p>
            <w:pPr>
              <w:rPr>
                <w:sz w:val="2"/>
                <w:szCs w:val="2"/>
              </w:rPr>
            </w:pPr>
          </w:p>
        </w:tc>
        <w:tc>
          <w:tcPr>
            <w:tcW w:w="693" w:type="dxa"/>
          </w:tcPr>
          <w:p>
            <w:pPr>
              <w:pStyle w:val="11"/>
              <w:spacing w:before="91"/>
              <w:ind w:left="225"/>
              <w:rPr>
                <w:rFonts w:ascii="Times New Roman"/>
                <w:sz w:val="24"/>
              </w:rPr>
            </w:pPr>
            <w:r>
              <w:rPr>
                <w:rFonts w:ascii="Times New Roman"/>
                <w:sz w:val="24"/>
              </w:rPr>
              <w:t>94</w:t>
            </w:r>
          </w:p>
        </w:tc>
        <w:tc>
          <w:tcPr>
            <w:tcW w:w="6442" w:type="dxa"/>
            <w:gridSpan w:val="4"/>
          </w:tcPr>
          <w:p>
            <w:pPr>
              <w:pStyle w:val="11"/>
              <w:spacing w:before="75"/>
              <w:ind w:left="108"/>
              <w:rPr>
                <w:rFonts w:hint="eastAsia" w:ascii="仿宋" w:eastAsia="仿宋"/>
                <w:b/>
                <w:sz w:val="24"/>
              </w:rPr>
            </w:pPr>
            <w:r>
              <w:rPr>
                <w:rFonts w:hint="eastAsia" w:ascii="仿宋" w:eastAsia="仿宋"/>
                <w:b/>
                <w:sz w:val="24"/>
              </w:rPr>
              <w:t>基本实现癌症高危人群定期参加防癌体检</w:t>
            </w:r>
          </w:p>
        </w:tc>
        <w:tc>
          <w:tcPr>
            <w:tcW w:w="1050" w:type="dxa"/>
          </w:tcPr>
          <w:p>
            <w:pPr>
              <w:pStyle w:val="11"/>
              <w:spacing w:before="75"/>
              <w:ind w:left="165"/>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0" w:hRule="atLeast"/>
        </w:trPr>
        <w:tc>
          <w:tcPr>
            <w:tcW w:w="695" w:type="dxa"/>
            <w:vMerge w:val="continue"/>
            <w:tcBorders>
              <w:top w:val="nil"/>
            </w:tcBorders>
          </w:tcPr>
          <w:p>
            <w:pPr>
              <w:rPr>
                <w:sz w:val="2"/>
                <w:szCs w:val="2"/>
              </w:rPr>
            </w:pPr>
          </w:p>
        </w:tc>
        <w:tc>
          <w:tcPr>
            <w:tcW w:w="693" w:type="dxa"/>
          </w:tcPr>
          <w:p>
            <w:pPr>
              <w:pStyle w:val="11"/>
              <w:spacing w:before="171"/>
              <w:ind w:left="225"/>
              <w:rPr>
                <w:rFonts w:ascii="Times New Roman"/>
                <w:sz w:val="24"/>
              </w:rPr>
            </w:pPr>
            <w:r>
              <w:rPr>
                <w:rFonts w:ascii="Times New Roman"/>
                <w:sz w:val="24"/>
              </w:rPr>
              <w:t>95</w:t>
            </w:r>
          </w:p>
        </w:tc>
        <w:tc>
          <w:tcPr>
            <w:tcW w:w="6442" w:type="dxa"/>
            <w:gridSpan w:val="4"/>
          </w:tcPr>
          <w:p>
            <w:pPr>
              <w:pStyle w:val="11"/>
              <w:spacing w:before="2"/>
              <w:ind w:left="108"/>
              <w:rPr>
                <w:rFonts w:hint="eastAsia" w:ascii="仿宋" w:eastAsia="仿宋"/>
                <w:b/>
                <w:sz w:val="24"/>
              </w:rPr>
            </w:pPr>
            <w:r>
              <w:rPr>
                <w:rFonts w:ascii="Times New Roman" w:eastAsia="Times New Roman"/>
                <w:b/>
                <w:sz w:val="24"/>
              </w:rPr>
              <w:t xml:space="preserve">40 </w:t>
            </w:r>
            <w:r>
              <w:rPr>
                <w:rFonts w:hint="eastAsia" w:ascii="仿宋" w:eastAsia="仿宋"/>
                <w:b/>
                <w:sz w:val="24"/>
              </w:rPr>
              <w:t>岁及以上人群或慢性呼吸系统疾病高危人群每年检查肺</w:t>
            </w:r>
          </w:p>
          <w:p>
            <w:pPr>
              <w:pStyle w:val="11"/>
              <w:spacing w:before="2" w:line="288" w:lineRule="exact"/>
              <w:ind w:left="108"/>
              <w:rPr>
                <w:rFonts w:hint="eastAsia" w:ascii="仿宋" w:eastAsia="仿宋"/>
                <w:b/>
                <w:sz w:val="24"/>
              </w:rPr>
            </w:pPr>
            <w:r>
              <w:rPr>
                <w:rFonts w:hint="eastAsia" w:ascii="仿宋" w:eastAsia="仿宋"/>
                <w:b/>
                <w:sz w:val="24"/>
              </w:rPr>
              <w:t xml:space="preserve">功能 </w:t>
            </w:r>
            <w:r>
              <w:rPr>
                <w:rFonts w:ascii="Times New Roman" w:eastAsia="Times New Roman"/>
                <w:b/>
                <w:sz w:val="24"/>
              </w:rPr>
              <w:t xml:space="preserve">1 </w:t>
            </w:r>
            <w:r>
              <w:rPr>
                <w:rFonts w:hint="eastAsia" w:ascii="仿宋" w:eastAsia="仿宋"/>
                <w:b/>
                <w:sz w:val="24"/>
              </w:rPr>
              <w:t>次</w:t>
            </w:r>
          </w:p>
        </w:tc>
        <w:tc>
          <w:tcPr>
            <w:tcW w:w="1050" w:type="dxa"/>
          </w:tcPr>
          <w:p>
            <w:pPr>
              <w:pStyle w:val="11"/>
              <w:spacing w:before="155"/>
              <w:ind w:left="165"/>
              <w:rPr>
                <w:rFonts w:hint="eastAsia" w:ascii="仿宋" w:eastAsia="仿宋"/>
                <w:sz w:val="24"/>
              </w:rPr>
            </w:pPr>
            <w:r>
              <w:rPr>
                <w:rFonts w:hint="eastAsia" w:ascii="仿宋" w:eastAsia="仿宋"/>
                <w:sz w:val="24"/>
              </w:rPr>
              <w:t>倡导性</w:t>
            </w:r>
          </w:p>
        </w:tc>
      </w:tr>
    </w:tbl>
    <w:p>
      <w:pPr>
        <w:spacing w:after="0"/>
        <w:rPr>
          <w:rFonts w:hint="eastAsia" w:ascii="仿宋" w:eastAsia="仿宋"/>
          <w:sz w:val="24"/>
        </w:rPr>
        <w:sectPr>
          <w:pgSz w:w="11910" w:h="16840"/>
          <w:pgMar w:top="1420" w:right="1140" w:bottom="1300" w:left="1400" w:header="0" w:footer="1120" w:gutter="0"/>
        </w:sectPr>
      </w:pPr>
    </w:p>
    <w:tbl>
      <w:tblPr>
        <w:tblStyle w:val="7"/>
        <w:tblW w:w="8881"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13"/>
        <w:gridCol w:w="1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13"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89" w:type="dxa"/>
          </w:tcPr>
          <w:p>
            <w:pPr>
              <w:pStyle w:val="11"/>
              <w:spacing w:before="140" w:line="242" w:lineRule="auto"/>
              <w:ind w:left="323" w:right="268"/>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12"/>
              <w:rPr>
                <w:rFonts w:ascii="宋体"/>
                <w:b/>
                <w:sz w:val="18"/>
              </w:rPr>
            </w:pPr>
          </w:p>
          <w:p>
            <w:pPr>
              <w:pStyle w:val="11"/>
              <w:ind w:left="69" w:right="42"/>
              <w:jc w:val="center"/>
              <w:rPr>
                <w:rFonts w:hint="eastAsia" w:ascii="黑体" w:eastAsia="黑体"/>
                <w:sz w:val="24"/>
              </w:rPr>
            </w:pPr>
            <w:r>
              <w:rPr>
                <w:rFonts w:hint="eastAsia" w:ascii="黑体" w:eastAsia="黑体"/>
                <w:w w:val="55"/>
                <w:sz w:val="24"/>
              </w:rPr>
              <w:t>（十一）</w:t>
            </w:r>
          </w:p>
          <w:p>
            <w:pPr>
              <w:pStyle w:val="11"/>
              <w:spacing w:before="5"/>
              <w:ind w:left="27"/>
              <w:jc w:val="center"/>
              <w:rPr>
                <w:rFonts w:hint="eastAsia" w:ascii="黑体" w:eastAsia="黑体"/>
                <w:sz w:val="24"/>
              </w:rPr>
            </w:pPr>
            <w:r>
              <w:rPr>
                <w:rFonts w:hint="eastAsia" w:ascii="黑体" w:eastAsia="黑体"/>
                <w:w w:val="50"/>
                <w:sz w:val="24"/>
              </w:rPr>
              <w:t>～</w:t>
            </w:r>
          </w:p>
          <w:p>
            <w:pPr>
              <w:pStyle w:val="11"/>
              <w:spacing w:before="4" w:line="242" w:lineRule="auto"/>
              <w:ind w:left="226" w:right="108" w:hanging="89"/>
              <w:rPr>
                <w:rFonts w:hint="eastAsia" w:ascii="黑体" w:eastAsia="黑体"/>
                <w:sz w:val="24"/>
              </w:rPr>
            </w:pPr>
            <w:r>
              <w:rPr>
                <w:rFonts w:hint="eastAsia" w:ascii="黑体" w:eastAsia="黑体"/>
                <w:spacing w:val="-17"/>
                <w:w w:val="50"/>
                <w:sz w:val="24"/>
              </w:rPr>
              <w:t>（</w:t>
            </w:r>
            <w:r>
              <w:rPr>
                <w:rFonts w:hint="eastAsia" w:ascii="黑体" w:eastAsia="黑体"/>
                <w:spacing w:val="-16"/>
                <w:w w:val="50"/>
                <w:sz w:val="24"/>
              </w:rPr>
              <w:t xml:space="preserve">十四） </w:t>
            </w:r>
            <w:r>
              <w:rPr>
                <w:rFonts w:hint="eastAsia" w:ascii="黑体" w:eastAsia="黑体"/>
                <w:sz w:val="24"/>
              </w:rPr>
              <w:t>心脑血管疾病</w:t>
            </w:r>
          </w:p>
          <w:p>
            <w:pPr>
              <w:pStyle w:val="11"/>
              <w:spacing w:before="3" w:line="242" w:lineRule="auto"/>
              <w:ind w:left="226" w:right="211"/>
              <w:jc w:val="both"/>
              <w:rPr>
                <w:rFonts w:hint="eastAsia" w:ascii="黑体" w:eastAsia="黑体"/>
                <w:sz w:val="24"/>
              </w:rPr>
            </w:pPr>
            <w:r>
              <w:rPr>
                <w:rFonts w:hint="eastAsia" w:ascii="黑体" w:eastAsia="黑体"/>
                <w:sz w:val="24"/>
              </w:rPr>
              <w:t>、癌症</w:t>
            </w:r>
          </w:p>
          <w:p>
            <w:pPr>
              <w:pStyle w:val="11"/>
              <w:spacing w:before="2" w:line="242" w:lineRule="auto"/>
              <w:ind w:left="226" w:right="211"/>
              <w:jc w:val="both"/>
              <w:rPr>
                <w:rFonts w:hint="eastAsia" w:ascii="黑体" w:eastAsia="黑体"/>
                <w:sz w:val="24"/>
              </w:rPr>
            </w:pPr>
            <w:r>
              <w:rPr>
                <w:rFonts w:hint="eastAsia" w:ascii="黑体" w:eastAsia="黑体"/>
                <w:sz w:val="24"/>
              </w:rPr>
              <w:t>、慢性呼吸系统疾病</w:t>
            </w:r>
          </w:p>
          <w:p>
            <w:pPr>
              <w:pStyle w:val="11"/>
              <w:spacing w:before="8" w:line="242" w:lineRule="auto"/>
              <w:ind w:left="226" w:right="211"/>
              <w:jc w:val="both"/>
              <w:rPr>
                <w:rFonts w:hint="eastAsia" w:ascii="黑体" w:eastAsia="黑体"/>
                <w:sz w:val="24"/>
              </w:rPr>
            </w:pPr>
            <w:r>
              <w:rPr>
                <w:rFonts w:hint="eastAsia" w:ascii="黑体" w:eastAsia="黑体"/>
                <w:sz w:val="24"/>
              </w:rPr>
              <w:t>、糖尿病防治行动</w:t>
            </w:r>
          </w:p>
        </w:tc>
        <w:tc>
          <w:tcPr>
            <w:tcW w:w="8186" w:type="dxa"/>
            <w:gridSpan w:val="6"/>
          </w:tcPr>
          <w:p>
            <w:pPr>
              <w:pStyle w:val="11"/>
              <w:spacing w:before="45"/>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spacing w:before="4"/>
              <w:rPr>
                <w:rFonts w:ascii="宋体"/>
                <w:b/>
                <w:sz w:val="35"/>
              </w:rPr>
            </w:pPr>
          </w:p>
          <w:p>
            <w:pPr>
              <w:pStyle w:val="11"/>
              <w:spacing w:before="1"/>
              <w:ind w:left="225"/>
              <w:rPr>
                <w:rFonts w:ascii="Times New Roman"/>
                <w:sz w:val="24"/>
              </w:rPr>
            </w:pPr>
            <w:r>
              <w:rPr>
                <w:rFonts w:ascii="Times New Roman"/>
                <w:sz w:val="24"/>
              </w:rPr>
              <w:t>96</w:t>
            </w:r>
          </w:p>
        </w:tc>
        <w:tc>
          <w:tcPr>
            <w:tcW w:w="3458" w:type="dxa"/>
          </w:tcPr>
          <w:p>
            <w:pPr>
              <w:pStyle w:val="11"/>
              <w:spacing w:before="3"/>
              <w:ind w:left="108"/>
              <w:rPr>
                <w:rFonts w:hint="eastAsia" w:ascii="仿宋" w:eastAsia="仿宋"/>
                <w:b/>
                <w:sz w:val="24"/>
              </w:rPr>
            </w:pPr>
            <w:r>
              <w:rPr>
                <w:rFonts w:ascii="Times New Roman" w:eastAsia="Times New Roman"/>
                <w:b/>
                <w:sz w:val="24"/>
              </w:rPr>
              <w:t xml:space="preserve">30 </w:t>
            </w:r>
            <w:r>
              <w:rPr>
                <w:rFonts w:hint="eastAsia" w:ascii="仿宋" w:eastAsia="仿宋"/>
                <w:b/>
                <w:sz w:val="24"/>
              </w:rPr>
              <w:t>岁及以上居民高血压知晓率</w:t>
            </w:r>
          </w:p>
          <w:p>
            <w:pPr>
              <w:pStyle w:val="11"/>
              <w:spacing w:before="2" w:line="291" w:lineRule="exact"/>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19"/>
              <w:ind w:left="89" w:right="116"/>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2" w:line="275" w:lineRule="exact"/>
              <w:ind w:left="89" w:right="73"/>
              <w:jc w:val="center"/>
              <w:rPr>
                <w:rFonts w:ascii="Times New Roman"/>
                <w:sz w:val="24"/>
              </w:rPr>
            </w:pPr>
            <w:r>
              <w:rPr>
                <w:rFonts w:ascii="Times New Roman"/>
                <w:sz w:val="24"/>
              </w:rPr>
              <w:t>47</w:t>
            </w:r>
          </w:p>
        </w:tc>
        <w:tc>
          <w:tcPr>
            <w:tcW w:w="851" w:type="dxa"/>
          </w:tcPr>
          <w:p>
            <w:pPr>
              <w:pStyle w:val="11"/>
              <w:spacing w:before="172"/>
              <w:ind w:left="66" w:right="52"/>
              <w:jc w:val="center"/>
              <w:rPr>
                <w:rFonts w:ascii="Times New Roman" w:hAnsi="Times New Roman"/>
                <w:sz w:val="24"/>
              </w:rPr>
            </w:pPr>
            <w:r>
              <w:rPr>
                <w:rFonts w:ascii="Times New Roman" w:hAnsi="Times New Roman"/>
                <w:sz w:val="24"/>
              </w:rPr>
              <w:t>≥55</w:t>
            </w:r>
          </w:p>
        </w:tc>
        <w:tc>
          <w:tcPr>
            <w:tcW w:w="813" w:type="dxa"/>
          </w:tcPr>
          <w:p>
            <w:pPr>
              <w:pStyle w:val="11"/>
              <w:spacing w:before="172"/>
              <w:ind w:left="194" w:right="143"/>
              <w:jc w:val="center"/>
              <w:rPr>
                <w:rFonts w:ascii="Times New Roman" w:hAnsi="Times New Roman"/>
                <w:sz w:val="24"/>
              </w:rPr>
            </w:pPr>
            <w:r>
              <w:rPr>
                <w:rFonts w:ascii="Times New Roman" w:hAnsi="Times New Roman"/>
                <w:sz w:val="24"/>
              </w:rPr>
              <w:t>≥65</w:t>
            </w:r>
          </w:p>
        </w:tc>
        <w:tc>
          <w:tcPr>
            <w:tcW w:w="1089" w:type="dxa"/>
          </w:tcPr>
          <w:p>
            <w:pPr>
              <w:pStyle w:val="11"/>
              <w:spacing w:before="156"/>
              <w:ind w:right="148"/>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line="269" w:lineRule="exact"/>
              <w:ind w:left="108"/>
              <w:rPr>
                <w:sz w:val="21"/>
              </w:rPr>
            </w:pPr>
            <w:r>
              <w:rPr>
                <w:sz w:val="21"/>
              </w:rPr>
              <w:t xml:space="preserve">说明：该指标是指调查确定的 </w:t>
            </w:r>
            <w:r>
              <w:rPr>
                <w:rFonts w:ascii="Times New Roman" w:eastAsia="Times New Roman"/>
                <w:sz w:val="21"/>
              </w:rPr>
              <w:t xml:space="preserve">30 </w:t>
            </w:r>
            <w:r>
              <w:rPr>
                <w:sz w:val="21"/>
              </w:rPr>
              <w:t>岁及以上高血压人群中，在测量血压之前即知</w:t>
            </w:r>
          </w:p>
          <w:p>
            <w:pPr>
              <w:pStyle w:val="11"/>
              <w:spacing w:before="4" w:line="252" w:lineRule="exact"/>
              <w:ind w:left="108"/>
              <w:rPr>
                <w:sz w:val="21"/>
              </w:rPr>
            </w:pPr>
            <w:r>
              <w:rPr>
                <w:sz w:val="21"/>
              </w:rPr>
              <w:t>道自己患有高血压者（经过有资质的医疗机构或医生诊断）所占比例。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Pr>
          <w:p>
            <w:pPr>
              <w:pStyle w:val="11"/>
              <w:spacing w:before="10"/>
              <w:rPr>
                <w:rFonts w:ascii="宋体"/>
                <w:b/>
                <w:sz w:val="33"/>
              </w:rPr>
            </w:pPr>
          </w:p>
          <w:p>
            <w:pPr>
              <w:pStyle w:val="11"/>
              <w:spacing w:before="1"/>
              <w:ind w:left="225"/>
              <w:rPr>
                <w:rFonts w:ascii="Times New Roman"/>
                <w:sz w:val="24"/>
              </w:rPr>
            </w:pPr>
            <w:r>
              <w:rPr>
                <w:rFonts w:ascii="Times New Roman"/>
                <w:sz w:val="24"/>
              </w:rPr>
              <w:t>97</w:t>
            </w:r>
          </w:p>
        </w:tc>
        <w:tc>
          <w:tcPr>
            <w:tcW w:w="3458" w:type="dxa"/>
          </w:tcPr>
          <w:p>
            <w:pPr>
              <w:pStyle w:val="11"/>
              <w:spacing w:before="139"/>
              <w:ind w:left="108"/>
              <w:rPr>
                <w:rFonts w:hint="eastAsia" w:ascii="仿宋" w:eastAsia="仿宋"/>
                <w:b/>
                <w:sz w:val="24"/>
              </w:rPr>
            </w:pPr>
            <w:r>
              <w:rPr>
                <w:rFonts w:hint="eastAsia" w:ascii="仿宋" w:eastAsia="仿宋"/>
                <w:b/>
                <w:sz w:val="24"/>
              </w:rPr>
              <w:t>高血压患者规范管理率（</w:t>
            </w:r>
            <w:r>
              <w:rPr>
                <w:rFonts w:ascii="Times New Roman" w:eastAsia="Times New Roman"/>
                <w:b/>
                <w:sz w:val="24"/>
              </w:rPr>
              <w:t>%</w:t>
            </w:r>
            <w:r>
              <w:rPr>
                <w:rFonts w:hint="eastAsia" w:ascii="仿宋" w:eastAsia="仿宋"/>
                <w:b/>
                <w:sz w:val="24"/>
              </w:rPr>
              <w:t>）</w:t>
            </w:r>
          </w:p>
        </w:tc>
        <w:tc>
          <w:tcPr>
            <w:tcW w:w="1282" w:type="dxa"/>
          </w:tcPr>
          <w:p>
            <w:pPr>
              <w:pStyle w:val="11"/>
              <w:ind w:left="89" w:right="116"/>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3" w:line="256" w:lineRule="exact"/>
              <w:ind w:left="89" w:right="73"/>
              <w:jc w:val="center"/>
              <w:rPr>
                <w:rFonts w:ascii="Times New Roman"/>
                <w:sz w:val="24"/>
              </w:rPr>
            </w:pPr>
            <w:r>
              <w:rPr>
                <w:rFonts w:ascii="Times New Roman"/>
                <w:sz w:val="24"/>
              </w:rPr>
              <w:t>50</w:t>
            </w:r>
          </w:p>
        </w:tc>
        <w:tc>
          <w:tcPr>
            <w:tcW w:w="851" w:type="dxa"/>
          </w:tcPr>
          <w:p>
            <w:pPr>
              <w:pStyle w:val="11"/>
              <w:spacing w:before="155"/>
              <w:ind w:left="66" w:right="52"/>
              <w:jc w:val="center"/>
              <w:rPr>
                <w:rFonts w:ascii="Times New Roman" w:hAnsi="Times New Roman"/>
                <w:sz w:val="24"/>
              </w:rPr>
            </w:pPr>
            <w:r>
              <w:rPr>
                <w:rFonts w:ascii="Times New Roman" w:hAnsi="Times New Roman"/>
                <w:sz w:val="24"/>
              </w:rPr>
              <w:t>≥60</w:t>
            </w:r>
          </w:p>
        </w:tc>
        <w:tc>
          <w:tcPr>
            <w:tcW w:w="813" w:type="dxa"/>
          </w:tcPr>
          <w:p>
            <w:pPr>
              <w:pStyle w:val="11"/>
              <w:spacing w:before="155"/>
              <w:ind w:left="170" w:right="167"/>
              <w:jc w:val="center"/>
              <w:rPr>
                <w:rFonts w:ascii="Times New Roman" w:hAnsi="Times New Roman"/>
                <w:sz w:val="24"/>
              </w:rPr>
            </w:pPr>
            <w:r>
              <w:rPr>
                <w:rFonts w:ascii="Times New Roman" w:hAnsi="Times New Roman"/>
                <w:sz w:val="24"/>
              </w:rPr>
              <w:t>≥70</w:t>
            </w:r>
          </w:p>
        </w:tc>
        <w:tc>
          <w:tcPr>
            <w:tcW w:w="1089" w:type="dxa"/>
          </w:tcPr>
          <w:p>
            <w:pPr>
              <w:pStyle w:val="11"/>
              <w:spacing w:before="139"/>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line="268" w:lineRule="exact"/>
              <w:ind w:left="108"/>
              <w:rPr>
                <w:sz w:val="21"/>
              </w:rPr>
            </w:pPr>
            <w:r>
              <w:rPr>
                <w:sz w:val="21"/>
              </w:rPr>
              <w:t>说明：按照国家基本公共卫生服务规范要求进行高血压患者健康管理的人数占年</w:t>
            </w:r>
          </w:p>
          <w:p>
            <w:pPr>
              <w:pStyle w:val="11"/>
              <w:spacing w:before="4" w:line="252" w:lineRule="exact"/>
              <w:ind w:left="108"/>
              <w:rPr>
                <w:sz w:val="21"/>
              </w:rPr>
            </w:pPr>
            <w:r>
              <w:rPr>
                <w:sz w:val="21"/>
              </w:rPr>
              <w:t>内已管理的高血压患者人数的比例。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6" w:hRule="atLeast"/>
        </w:trPr>
        <w:tc>
          <w:tcPr>
            <w:tcW w:w="695" w:type="dxa"/>
            <w:vMerge w:val="continue"/>
            <w:tcBorders>
              <w:top w:val="nil"/>
            </w:tcBorders>
          </w:tcPr>
          <w:p>
            <w:pPr>
              <w:rPr>
                <w:sz w:val="2"/>
                <w:szCs w:val="2"/>
              </w:rPr>
            </w:pPr>
          </w:p>
        </w:tc>
        <w:tc>
          <w:tcPr>
            <w:tcW w:w="693" w:type="dxa"/>
            <w:vMerge w:val="restart"/>
          </w:tcPr>
          <w:p>
            <w:pPr>
              <w:pStyle w:val="11"/>
              <w:spacing w:before="2"/>
              <w:rPr>
                <w:rFonts w:ascii="宋体"/>
                <w:b/>
                <w:sz w:val="28"/>
              </w:rPr>
            </w:pPr>
          </w:p>
          <w:p>
            <w:pPr>
              <w:pStyle w:val="11"/>
              <w:ind w:left="225"/>
              <w:rPr>
                <w:rFonts w:ascii="Times New Roman"/>
                <w:sz w:val="24"/>
              </w:rPr>
            </w:pPr>
            <w:r>
              <w:rPr>
                <w:rFonts w:ascii="Times New Roman"/>
                <w:sz w:val="24"/>
              </w:rPr>
              <w:t>98</w:t>
            </w:r>
          </w:p>
        </w:tc>
        <w:tc>
          <w:tcPr>
            <w:tcW w:w="3458" w:type="dxa"/>
          </w:tcPr>
          <w:p>
            <w:pPr>
              <w:pStyle w:val="11"/>
              <w:spacing w:before="139"/>
              <w:ind w:left="108"/>
              <w:rPr>
                <w:rFonts w:hint="eastAsia" w:ascii="仿宋" w:eastAsia="仿宋"/>
                <w:b/>
                <w:sz w:val="24"/>
              </w:rPr>
            </w:pPr>
            <w:r>
              <w:rPr>
                <w:rFonts w:hint="eastAsia" w:ascii="仿宋" w:eastAsia="仿宋"/>
                <w:b/>
                <w:sz w:val="24"/>
              </w:rPr>
              <w:t>高血压治疗率（</w:t>
            </w:r>
            <w:r>
              <w:rPr>
                <w:rFonts w:ascii="Times New Roman" w:eastAsia="Times New Roman"/>
                <w:b/>
                <w:sz w:val="24"/>
              </w:rPr>
              <w:t>%</w:t>
            </w:r>
            <w:r>
              <w:rPr>
                <w:rFonts w:hint="eastAsia" w:ascii="仿宋" w:eastAsia="仿宋"/>
                <w:b/>
                <w:sz w:val="24"/>
              </w:rPr>
              <w:t>）</w:t>
            </w:r>
          </w:p>
        </w:tc>
        <w:tc>
          <w:tcPr>
            <w:tcW w:w="1282" w:type="dxa"/>
          </w:tcPr>
          <w:p>
            <w:pPr>
              <w:pStyle w:val="11"/>
              <w:spacing w:before="2"/>
              <w:ind w:left="89" w:right="116"/>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line="256" w:lineRule="exact"/>
              <w:ind w:left="89" w:right="76"/>
              <w:jc w:val="center"/>
              <w:rPr>
                <w:rFonts w:ascii="Times New Roman"/>
                <w:sz w:val="24"/>
              </w:rPr>
            </w:pPr>
            <w:r>
              <w:rPr>
                <w:rFonts w:ascii="Times New Roman"/>
                <w:sz w:val="24"/>
              </w:rPr>
              <w:t>41.1</w:t>
            </w:r>
          </w:p>
        </w:tc>
        <w:tc>
          <w:tcPr>
            <w:tcW w:w="1664" w:type="dxa"/>
            <w:gridSpan w:val="2"/>
          </w:tcPr>
          <w:p>
            <w:pPr>
              <w:pStyle w:val="11"/>
              <w:spacing w:before="139"/>
              <w:ind w:left="345"/>
              <w:rPr>
                <w:rFonts w:hint="eastAsia" w:ascii="仿宋" w:eastAsia="仿宋"/>
                <w:sz w:val="24"/>
              </w:rPr>
            </w:pPr>
            <w:r>
              <w:rPr>
                <w:rFonts w:hint="eastAsia" w:ascii="仿宋" w:eastAsia="仿宋"/>
                <w:sz w:val="24"/>
              </w:rPr>
              <w:t>持续提高</w:t>
            </w:r>
          </w:p>
        </w:tc>
        <w:tc>
          <w:tcPr>
            <w:tcW w:w="1089" w:type="dxa"/>
          </w:tcPr>
          <w:p>
            <w:pPr>
              <w:pStyle w:val="11"/>
              <w:spacing w:before="139"/>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before="61"/>
              <w:ind w:left="108" w:right="-15"/>
              <w:rPr>
                <w:sz w:val="21"/>
              </w:rPr>
            </w:pPr>
            <w:r>
              <w:rPr>
                <w:spacing w:val="-15"/>
                <w:sz w:val="21"/>
              </w:rPr>
              <w:t xml:space="preserve">说明：调查的 </w:t>
            </w:r>
            <w:r>
              <w:rPr>
                <w:rFonts w:ascii="Times New Roman" w:eastAsia="Times New Roman"/>
                <w:sz w:val="21"/>
              </w:rPr>
              <w:t>18</w:t>
            </w:r>
            <w:r>
              <w:rPr>
                <w:rFonts w:ascii="Times New Roman" w:eastAsia="Times New Roman"/>
                <w:spacing w:val="-7"/>
                <w:sz w:val="21"/>
              </w:rPr>
              <w:t xml:space="preserve"> </w:t>
            </w:r>
            <w:r>
              <w:rPr>
                <w:spacing w:val="-4"/>
                <w:sz w:val="21"/>
              </w:rPr>
              <w:t>岁及以上高血压人群中，近两周内服用降压药物者所占的比例。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6" w:hRule="atLeast"/>
        </w:trPr>
        <w:tc>
          <w:tcPr>
            <w:tcW w:w="695" w:type="dxa"/>
            <w:vMerge w:val="continue"/>
            <w:tcBorders>
              <w:top w:val="nil"/>
            </w:tcBorders>
          </w:tcPr>
          <w:p>
            <w:pPr>
              <w:rPr>
                <w:sz w:val="2"/>
                <w:szCs w:val="2"/>
              </w:rPr>
            </w:pPr>
          </w:p>
        </w:tc>
        <w:tc>
          <w:tcPr>
            <w:tcW w:w="693" w:type="dxa"/>
            <w:vMerge w:val="restart"/>
          </w:tcPr>
          <w:p>
            <w:pPr>
              <w:pStyle w:val="11"/>
              <w:spacing w:before="11"/>
              <w:rPr>
                <w:rFonts w:ascii="宋体"/>
                <w:b/>
                <w:sz w:val="33"/>
              </w:rPr>
            </w:pPr>
          </w:p>
          <w:p>
            <w:pPr>
              <w:pStyle w:val="11"/>
              <w:ind w:left="225"/>
              <w:rPr>
                <w:rFonts w:ascii="Times New Roman"/>
                <w:sz w:val="24"/>
              </w:rPr>
            </w:pPr>
            <w:r>
              <w:rPr>
                <w:rFonts w:ascii="Times New Roman"/>
                <w:sz w:val="24"/>
              </w:rPr>
              <w:t>99</w:t>
            </w:r>
          </w:p>
        </w:tc>
        <w:tc>
          <w:tcPr>
            <w:tcW w:w="3458" w:type="dxa"/>
          </w:tcPr>
          <w:p>
            <w:pPr>
              <w:pStyle w:val="11"/>
              <w:spacing w:before="137"/>
              <w:ind w:left="108"/>
              <w:rPr>
                <w:rFonts w:hint="eastAsia" w:ascii="仿宋" w:eastAsia="仿宋"/>
                <w:b/>
                <w:sz w:val="24"/>
              </w:rPr>
            </w:pPr>
            <w:r>
              <w:rPr>
                <w:rFonts w:hint="eastAsia" w:ascii="仿宋" w:eastAsia="仿宋"/>
                <w:b/>
                <w:sz w:val="24"/>
              </w:rPr>
              <w:t>高血压控制率（</w:t>
            </w:r>
            <w:r>
              <w:rPr>
                <w:rFonts w:ascii="Times New Roman" w:eastAsia="Times New Roman"/>
                <w:b/>
                <w:sz w:val="24"/>
              </w:rPr>
              <w:t>%</w:t>
            </w:r>
            <w:r>
              <w:rPr>
                <w:rFonts w:hint="eastAsia" w:ascii="仿宋" w:eastAsia="仿宋"/>
                <w:b/>
                <w:sz w:val="24"/>
              </w:rPr>
              <w:t>）</w:t>
            </w:r>
          </w:p>
        </w:tc>
        <w:tc>
          <w:tcPr>
            <w:tcW w:w="1282" w:type="dxa"/>
          </w:tcPr>
          <w:p>
            <w:pPr>
              <w:pStyle w:val="11"/>
              <w:spacing w:before="1"/>
              <w:ind w:left="89" w:right="116"/>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line="257" w:lineRule="exact"/>
              <w:ind w:left="89" w:right="76"/>
              <w:jc w:val="center"/>
              <w:rPr>
                <w:rFonts w:ascii="Times New Roman"/>
                <w:sz w:val="24"/>
              </w:rPr>
            </w:pPr>
            <w:r>
              <w:rPr>
                <w:rFonts w:ascii="Times New Roman"/>
                <w:sz w:val="24"/>
              </w:rPr>
              <w:t>13.8</w:t>
            </w:r>
          </w:p>
        </w:tc>
        <w:tc>
          <w:tcPr>
            <w:tcW w:w="1664" w:type="dxa"/>
            <w:gridSpan w:val="2"/>
          </w:tcPr>
          <w:p>
            <w:pPr>
              <w:pStyle w:val="11"/>
              <w:spacing w:before="137"/>
              <w:ind w:left="345"/>
              <w:rPr>
                <w:rFonts w:hint="eastAsia" w:ascii="仿宋" w:eastAsia="仿宋"/>
                <w:sz w:val="24"/>
              </w:rPr>
            </w:pPr>
            <w:r>
              <w:rPr>
                <w:rFonts w:hint="eastAsia" w:ascii="仿宋" w:eastAsia="仿宋"/>
                <w:sz w:val="24"/>
              </w:rPr>
              <w:t>持续提高</w:t>
            </w:r>
          </w:p>
        </w:tc>
        <w:tc>
          <w:tcPr>
            <w:tcW w:w="1089" w:type="dxa"/>
          </w:tcPr>
          <w:p>
            <w:pPr>
              <w:pStyle w:val="11"/>
              <w:spacing w:before="137"/>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ind w:left="108"/>
              <w:rPr>
                <w:sz w:val="21"/>
              </w:rPr>
            </w:pPr>
            <w:r>
              <w:rPr>
                <w:sz w:val="21"/>
              </w:rPr>
              <w:t xml:space="preserve">说明： 调查的 </w:t>
            </w:r>
            <w:r>
              <w:rPr>
                <w:rFonts w:ascii="Times New Roman" w:eastAsia="Times New Roman"/>
                <w:sz w:val="21"/>
              </w:rPr>
              <w:t xml:space="preserve">18 </w:t>
            </w:r>
            <w:r>
              <w:rPr>
                <w:sz w:val="21"/>
              </w:rPr>
              <w:t>岁及以上高血压人群中， 通过治疗将血压水平控制在</w:t>
            </w:r>
          </w:p>
          <w:p>
            <w:pPr>
              <w:pStyle w:val="11"/>
              <w:spacing w:before="4" w:line="251" w:lineRule="exact"/>
              <w:ind w:left="108"/>
              <w:rPr>
                <w:sz w:val="21"/>
              </w:rPr>
            </w:pPr>
            <w:r>
              <w:rPr>
                <w:rFonts w:ascii="Times New Roman" w:eastAsia="Times New Roman"/>
                <w:sz w:val="21"/>
              </w:rPr>
              <w:t xml:space="preserve">140/90mmHg </w:t>
            </w:r>
            <w:r>
              <w:rPr>
                <w:sz w:val="21"/>
              </w:rPr>
              <w:t>以下者所占的比例。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2" w:hRule="atLeast"/>
        </w:trPr>
        <w:tc>
          <w:tcPr>
            <w:tcW w:w="695" w:type="dxa"/>
            <w:vMerge w:val="continue"/>
            <w:tcBorders>
              <w:top w:val="nil"/>
            </w:tcBorders>
          </w:tcPr>
          <w:p>
            <w:pPr>
              <w:rPr>
                <w:sz w:val="2"/>
                <w:szCs w:val="2"/>
              </w:rPr>
            </w:pPr>
          </w:p>
        </w:tc>
        <w:tc>
          <w:tcPr>
            <w:tcW w:w="693" w:type="dxa"/>
          </w:tcPr>
          <w:p>
            <w:pPr>
              <w:pStyle w:val="11"/>
              <w:spacing w:before="5"/>
              <w:rPr>
                <w:rFonts w:ascii="宋体"/>
                <w:b/>
                <w:sz w:val="25"/>
              </w:rPr>
            </w:pPr>
          </w:p>
          <w:p>
            <w:pPr>
              <w:pStyle w:val="11"/>
              <w:ind w:left="165"/>
              <w:rPr>
                <w:rFonts w:ascii="Times New Roman"/>
                <w:sz w:val="24"/>
              </w:rPr>
            </w:pPr>
            <w:r>
              <w:rPr>
                <w:rFonts w:ascii="Times New Roman"/>
                <w:sz w:val="24"/>
              </w:rPr>
              <w:t>100</w:t>
            </w:r>
          </w:p>
        </w:tc>
        <w:tc>
          <w:tcPr>
            <w:tcW w:w="3458" w:type="dxa"/>
          </w:tcPr>
          <w:p>
            <w:pPr>
              <w:pStyle w:val="11"/>
              <w:spacing w:before="2"/>
              <w:rPr>
                <w:rFonts w:ascii="宋体"/>
                <w:b/>
                <w:sz w:val="24"/>
              </w:rPr>
            </w:pPr>
          </w:p>
          <w:p>
            <w:pPr>
              <w:pStyle w:val="11"/>
              <w:ind w:left="108"/>
              <w:rPr>
                <w:rFonts w:hint="eastAsia" w:ascii="仿宋" w:eastAsia="仿宋"/>
                <w:b/>
                <w:sz w:val="24"/>
              </w:rPr>
            </w:pPr>
            <w:r>
              <w:rPr>
                <w:rFonts w:hint="eastAsia" w:ascii="仿宋" w:eastAsia="仿宋"/>
                <w:b/>
                <w:sz w:val="24"/>
              </w:rPr>
              <w:t>静脉溶栓技术开展情况</w:t>
            </w:r>
          </w:p>
        </w:tc>
        <w:tc>
          <w:tcPr>
            <w:tcW w:w="1282" w:type="dxa"/>
          </w:tcPr>
          <w:p>
            <w:pPr>
              <w:pStyle w:val="11"/>
              <w:spacing w:before="5"/>
              <w:rPr>
                <w:rFonts w:ascii="宋体"/>
                <w:b/>
                <w:sz w:val="25"/>
              </w:rPr>
            </w:pPr>
          </w:p>
          <w:p>
            <w:pPr>
              <w:pStyle w:val="11"/>
              <w:ind w:left="16"/>
              <w:jc w:val="center"/>
              <w:rPr>
                <w:rFonts w:ascii="Times New Roman" w:hAnsi="Times New Roman"/>
                <w:sz w:val="24"/>
              </w:rPr>
            </w:pPr>
            <w:r>
              <w:rPr>
                <w:rFonts w:ascii="Times New Roman" w:hAnsi="Times New Roman"/>
                <w:sz w:val="24"/>
              </w:rPr>
              <w:t>—</w:t>
            </w:r>
          </w:p>
        </w:tc>
        <w:tc>
          <w:tcPr>
            <w:tcW w:w="1664" w:type="dxa"/>
            <w:gridSpan w:val="2"/>
          </w:tcPr>
          <w:p>
            <w:pPr>
              <w:pStyle w:val="11"/>
              <w:ind w:left="129"/>
              <w:rPr>
                <w:rFonts w:hint="eastAsia" w:ascii="仿宋" w:eastAsia="仿宋"/>
                <w:sz w:val="24"/>
              </w:rPr>
            </w:pPr>
            <w:r>
              <w:rPr>
                <w:rFonts w:hint="eastAsia" w:ascii="仿宋" w:eastAsia="仿宋"/>
                <w:sz w:val="24"/>
              </w:rPr>
              <w:t>所有二级及以</w:t>
            </w:r>
          </w:p>
          <w:p>
            <w:pPr>
              <w:pStyle w:val="11"/>
              <w:spacing w:before="2" w:line="310" w:lineRule="atLeast"/>
              <w:ind w:left="362" w:right="58" w:hanging="233"/>
              <w:rPr>
                <w:rFonts w:hint="eastAsia" w:ascii="仿宋" w:eastAsia="仿宋"/>
                <w:sz w:val="24"/>
              </w:rPr>
            </w:pPr>
            <w:r>
              <w:rPr>
                <w:rFonts w:hint="eastAsia" w:ascii="仿宋" w:eastAsia="仿宋"/>
                <w:sz w:val="24"/>
              </w:rPr>
              <w:t>上医院卒中中心均开展</w:t>
            </w:r>
          </w:p>
        </w:tc>
        <w:tc>
          <w:tcPr>
            <w:tcW w:w="1089" w:type="dxa"/>
          </w:tcPr>
          <w:p>
            <w:pPr>
              <w:pStyle w:val="11"/>
              <w:spacing w:before="2"/>
              <w:rPr>
                <w:rFonts w:ascii="宋体"/>
                <w:b/>
                <w:sz w:val="24"/>
              </w:rPr>
            </w:pPr>
          </w:p>
          <w:p>
            <w:pPr>
              <w:pStyle w:val="11"/>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0"/>
              </w:rPr>
            </w:pPr>
          </w:p>
          <w:p>
            <w:pPr>
              <w:pStyle w:val="11"/>
              <w:ind w:left="165"/>
              <w:rPr>
                <w:rFonts w:ascii="Times New Roman"/>
                <w:sz w:val="24"/>
              </w:rPr>
            </w:pPr>
            <w:r>
              <w:rPr>
                <w:rFonts w:ascii="Times New Roman"/>
                <w:sz w:val="24"/>
              </w:rPr>
              <w:t>101</w:t>
            </w:r>
          </w:p>
        </w:tc>
        <w:tc>
          <w:tcPr>
            <w:tcW w:w="3458" w:type="dxa"/>
          </w:tcPr>
          <w:p>
            <w:pPr>
              <w:pStyle w:val="11"/>
              <w:spacing w:line="310" w:lineRule="atLeast"/>
              <w:ind w:left="108" w:right="80"/>
              <w:rPr>
                <w:rFonts w:hint="eastAsia" w:ascii="仿宋" w:eastAsia="仿宋"/>
                <w:b/>
                <w:sz w:val="24"/>
              </w:rPr>
            </w:pPr>
            <w:r>
              <w:rPr>
                <w:rFonts w:ascii="Times New Roman" w:eastAsia="Times New Roman"/>
                <w:b/>
                <w:sz w:val="24"/>
              </w:rPr>
              <w:t xml:space="preserve">35 </w:t>
            </w:r>
            <w:r>
              <w:rPr>
                <w:rFonts w:hint="eastAsia" w:ascii="仿宋" w:eastAsia="仿宋"/>
                <w:b/>
                <w:sz w:val="24"/>
              </w:rPr>
              <w:t>岁及以上居民年度血脂检测率（</w:t>
            </w:r>
            <w:r>
              <w:rPr>
                <w:rFonts w:ascii="Times New Roman" w:eastAsia="Times New Roman"/>
                <w:b/>
                <w:sz w:val="24"/>
              </w:rPr>
              <w:t>%</w:t>
            </w:r>
            <w:r>
              <w:rPr>
                <w:rFonts w:hint="eastAsia" w:ascii="仿宋" w:eastAsia="仿宋"/>
                <w:b/>
                <w:sz w:val="24"/>
              </w:rPr>
              <w:t>）</w:t>
            </w:r>
          </w:p>
        </w:tc>
        <w:tc>
          <w:tcPr>
            <w:tcW w:w="1282" w:type="dxa"/>
          </w:tcPr>
          <w:p>
            <w:pPr>
              <w:pStyle w:val="11"/>
              <w:spacing w:before="19"/>
              <w:ind w:left="89" w:right="116"/>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2" w:line="275" w:lineRule="exact"/>
              <w:ind w:left="89" w:right="76"/>
              <w:jc w:val="center"/>
              <w:rPr>
                <w:rFonts w:ascii="Times New Roman"/>
                <w:sz w:val="24"/>
              </w:rPr>
            </w:pPr>
            <w:r>
              <w:rPr>
                <w:rFonts w:ascii="Times New Roman"/>
                <w:sz w:val="24"/>
              </w:rPr>
              <w:t>19.4</w:t>
            </w:r>
          </w:p>
        </w:tc>
        <w:tc>
          <w:tcPr>
            <w:tcW w:w="851" w:type="dxa"/>
          </w:tcPr>
          <w:p>
            <w:pPr>
              <w:pStyle w:val="11"/>
              <w:spacing w:before="172"/>
              <w:ind w:left="66" w:right="52"/>
              <w:jc w:val="center"/>
              <w:rPr>
                <w:rFonts w:ascii="Times New Roman" w:hAnsi="Times New Roman"/>
                <w:sz w:val="24"/>
              </w:rPr>
            </w:pPr>
            <w:r>
              <w:rPr>
                <w:rFonts w:ascii="Times New Roman" w:hAnsi="Times New Roman"/>
                <w:sz w:val="24"/>
              </w:rPr>
              <w:t>≥27</w:t>
            </w:r>
          </w:p>
        </w:tc>
        <w:tc>
          <w:tcPr>
            <w:tcW w:w="813" w:type="dxa"/>
          </w:tcPr>
          <w:p>
            <w:pPr>
              <w:pStyle w:val="11"/>
              <w:spacing w:before="172"/>
              <w:ind w:left="170" w:right="167"/>
              <w:jc w:val="center"/>
              <w:rPr>
                <w:rFonts w:ascii="Times New Roman" w:hAnsi="Times New Roman"/>
                <w:sz w:val="24"/>
              </w:rPr>
            </w:pPr>
            <w:r>
              <w:rPr>
                <w:rFonts w:ascii="Times New Roman" w:hAnsi="Times New Roman"/>
                <w:sz w:val="24"/>
              </w:rPr>
              <w:t>≥35</w:t>
            </w:r>
          </w:p>
        </w:tc>
        <w:tc>
          <w:tcPr>
            <w:tcW w:w="1089" w:type="dxa"/>
          </w:tcPr>
          <w:p>
            <w:pPr>
              <w:pStyle w:val="11"/>
              <w:spacing w:before="156"/>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line="269" w:lineRule="exact"/>
              <w:ind w:left="108"/>
              <w:rPr>
                <w:sz w:val="21"/>
              </w:rPr>
            </w:pPr>
            <w:r>
              <w:rPr>
                <w:sz w:val="21"/>
              </w:rPr>
              <w:t xml:space="preserve">说明：该指标是指 </w:t>
            </w:r>
            <w:r>
              <w:rPr>
                <w:rFonts w:ascii="Times New Roman" w:eastAsia="Times New Roman"/>
                <w:sz w:val="21"/>
              </w:rPr>
              <w:t xml:space="preserve">35 </w:t>
            </w:r>
            <w:r>
              <w:rPr>
                <w:sz w:val="21"/>
              </w:rPr>
              <w:t>岁及以上居民中每年对自身血液中所含脂类进行定量测定</w:t>
            </w:r>
          </w:p>
          <w:p>
            <w:pPr>
              <w:pStyle w:val="11"/>
              <w:spacing w:before="3" w:line="270" w:lineRule="atLeast"/>
              <w:ind w:left="108" w:right="93"/>
              <w:rPr>
                <w:sz w:val="21"/>
              </w:rPr>
            </w:pPr>
            <w:r>
              <w:rPr>
                <w:spacing w:val="-7"/>
                <w:w w:val="95"/>
                <w:sz w:val="21"/>
              </w:rPr>
              <w:t xml:space="preserve">的人群比例。主要是测定血清中的总胆固醇、甘油三酯、低密度脂蛋白胆固醇和  </w:t>
            </w:r>
            <w:r>
              <w:rPr>
                <w:spacing w:val="-7"/>
                <w:sz w:val="21"/>
              </w:rPr>
              <w:t>高密度脂蛋白胆固醇的水平等。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695" w:type="dxa"/>
            <w:vMerge w:val="continue"/>
            <w:tcBorders>
              <w:top w:val="nil"/>
            </w:tcBorders>
          </w:tcPr>
          <w:p>
            <w:pPr>
              <w:rPr>
                <w:sz w:val="2"/>
                <w:szCs w:val="2"/>
              </w:rPr>
            </w:pPr>
          </w:p>
        </w:tc>
        <w:tc>
          <w:tcPr>
            <w:tcW w:w="693" w:type="dxa"/>
            <w:vMerge w:val="restart"/>
          </w:tcPr>
          <w:p>
            <w:pPr>
              <w:pStyle w:val="11"/>
              <w:spacing w:before="3"/>
              <w:rPr>
                <w:rFonts w:ascii="宋体"/>
                <w:b/>
                <w:sz w:val="35"/>
              </w:rPr>
            </w:pPr>
          </w:p>
          <w:p>
            <w:pPr>
              <w:pStyle w:val="11"/>
              <w:ind w:left="165"/>
              <w:rPr>
                <w:rFonts w:ascii="Times New Roman"/>
                <w:sz w:val="24"/>
              </w:rPr>
            </w:pPr>
            <w:r>
              <w:rPr>
                <w:rFonts w:ascii="Times New Roman"/>
                <w:sz w:val="24"/>
              </w:rPr>
              <w:t>102</w:t>
            </w:r>
          </w:p>
        </w:tc>
        <w:tc>
          <w:tcPr>
            <w:tcW w:w="3458" w:type="dxa"/>
          </w:tcPr>
          <w:p>
            <w:pPr>
              <w:pStyle w:val="11"/>
              <w:spacing w:before="1"/>
              <w:ind w:left="108"/>
              <w:rPr>
                <w:rFonts w:hint="eastAsia" w:ascii="仿宋" w:eastAsia="仿宋"/>
                <w:b/>
                <w:sz w:val="24"/>
              </w:rPr>
            </w:pPr>
            <w:r>
              <w:rPr>
                <w:rFonts w:ascii="Times New Roman" w:eastAsia="Times New Roman"/>
                <w:b/>
                <w:sz w:val="24"/>
              </w:rPr>
              <w:t xml:space="preserve">18 </w:t>
            </w:r>
            <w:r>
              <w:rPr>
                <w:rFonts w:hint="eastAsia" w:ascii="仿宋" w:eastAsia="仿宋"/>
                <w:b/>
                <w:sz w:val="24"/>
              </w:rPr>
              <w:t>岁及以上居民糖尿病知晓率</w:t>
            </w:r>
          </w:p>
          <w:p>
            <w:pPr>
              <w:pStyle w:val="11"/>
              <w:spacing w:before="5" w:line="289" w:lineRule="exact"/>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18"/>
              <w:ind w:left="89" w:right="116"/>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line="276" w:lineRule="exact"/>
              <w:ind w:left="89" w:right="76"/>
              <w:jc w:val="center"/>
              <w:rPr>
                <w:rFonts w:ascii="Times New Roman"/>
                <w:sz w:val="24"/>
              </w:rPr>
            </w:pPr>
            <w:r>
              <w:rPr>
                <w:rFonts w:ascii="Times New Roman"/>
                <w:sz w:val="24"/>
              </w:rPr>
              <w:t>36.1</w:t>
            </w:r>
          </w:p>
        </w:tc>
        <w:tc>
          <w:tcPr>
            <w:tcW w:w="851" w:type="dxa"/>
          </w:tcPr>
          <w:p>
            <w:pPr>
              <w:pStyle w:val="11"/>
              <w:spacing w:before="173"/>
              <w:ind w:left="66" w:right="52"/>
              <w:jc w:val="center"/>
              <w:rPr>
                <w:rFonts w:ascii="Times New Roman" w:hAnsi="Times New Roman"/>
                <w:sz w:val="24"/>
              </w:rPr>
            </w:pPr>
            <w:r>
              <w:rPr>
                <w:rFonts w:ascii="Times New Roman" w:hAnsi="Times New Roman"/>
                <w:sz w:val="24"/>
              </w:rPr>
              <w:t>≥50</w:t>
            </w:r>
          </w:p>
        </w:tc>
        <w:tc>
          <w:tcPr>
            <w:tcW w:w="813" w:type="dxa"/>
          </w:tcPr>
          <w:p>
            <w:pPr>
              <w:pStyle w:val="11"/>
              <w:spacing w:before="173"/>
              <w:ind w:left="170" w:right="167"/>
              <w:jc w:val="center"/>
              <w:rPr>
                <w:rFonts w:ascii="Times New Roman" w:hAnsi="Times New Roman"/>
                <w:sz w:val="24"/>
              </w:rPr>
            </w:pPr>
            <w:r>
              <w:rPr>
                <w:rFonts w:ascii="Times New Roman" w:hAnsi="Times New Roman"/>
                <w:sz w:val="24"/>
              </w:rPr>
              <w:t>≥60</w:t>
            </w:r>
          </w:p>
        </w:tc>
        <w:tc>
          <w:tcPr>
            <w:tcW w:w="1089" w:type="dxa"/>
          </w:tcPr>
          <w:p>
            <w:pPr>
              <w:pStyle w:val="11"/>
              <w:spacing w:before="157"/>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3"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before="1"/>
              <w:ind w:left="108"/>
              <w:rPr>
                <w:sz w:val="21"/>
              </w:rPr>
            </w:pPr>
            <w:r>
              <w:rPr>
                <w:sz w:val="21"/>
              </w:rPr>
              <w:t xml:space="preserve">说明：该指标是指调查确定的 </w:t>
            </w:r>
            <w:r>
              <w:rPr>
                <w:rFonts w:ascii="Times New Roman" w:eastAsia="Times New Roman"/>
                <w:sz w:val="21"/>
              </w:rPr>
              <w:t xml:space="preserve">18 </w:t>
            </w:r>
            <w:r>
              <w:rPr>
                <w:sz w:val="21"/>
              </w:rPr>
              <w:t>岁及以上糖尿病人群中，在测量血糖之前即知</w:t>
            </w:r>
          </w:p>
          <w:p>
            <w:pPr>
              <w:pStyle w:val="11"/>
              <w:spacing w:before="2" w:line="252" w:lineRule="exact"/>
              <w:ind w:left="108"/>
              <w:rPr>
                <w:sz w:val="21"/>
              </w:rPr>
            </w:pPr>
            <w:r>
              <w:rPr>
                <w:sz w:val="21"/>
              </w:rPr>
              <w:t>道自己患有糖尿病者（经过有资质的医疗机构或医生诊断）所占比例。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34"/>
              </w:rPr>
            </w:pPr>
          </w:p>
          <w:p>
            <w:pPr>
              <w:pStyle w:val="11"/>
              <w:ind w:left="165"/>
              <w:rPr>
                <w:rFonts w:ascii="Times New Roman"/>
                <w:sz w:val="24"/>
              </w:rPr>
            </w:pPr>
            <w:r>
              <w:rPr>
                <w:rFonts w:ascii="Times New Roman"/>
                <w:sz w:val="24"/>
              </w:rPr>
              <w:t>103</w:t>
            </w:r>
          </w:p>
        </w:tc>
        <w:tc>
          <w:tcPr>
            <w:tcW w:w="3458" w:type="dxa"/>
          </w:tcPr>
          <w:p>
            <w:pPr>
              <w:pStyle w:val="11"/>
              <w:spacing w:before="139"/>
              <w:ind w:left="108"/>
              <w:rPr>
                <w:rFonts w:hint="eastAsia" w:ascii="仿宋" w:eastAsia="仿宋"/>
                <w:b/>
                <w:sz w:val="24"/>
              </w:rPr>
            </w:pPr>
            <w:r>
              <w:rPr>
                <w:rFonts w:hint="eastAsia" w:ascii="仿宋" w:eastAsia="仿宋"/>
                <w:b/>
                <w:sz w:val="24"/>
              </w:rPr>
              <w:t>糖尿病患者规范管理率（</w:t>
            </w:r>
            <w:r>
              <w:rPr>
                <w:rFonts w:ascii="Times New Roman" w:eastAsia="Times New Roman"/>
                <w:b/>
                <w:sz w:val="24"/>
              </w:rPr>
              <w:t>%</w:t>
            </w:r>
            <w:r>
              <w:rPr>
                <w:rFonts w:hint="eastAsia" w:ascii="仿宋" w:eastAsia="仿宋"/>
                <w:b/>
                <w:sz w:val="24"/>
              </w:rPr>
              <w:t>）</w:t>
            </w:r>
          </w:p>
        </w:tc>
        <w:tc>
          <w:tcPr>
            <w:tcW w:w="1282" w:type="dxa"/>
          </w:tcPr>
          <w:p>
            <w:pPr>
              <w:pStyle w:val="11"/>
              <w:spacing w:before="2"/>
              <w:ind w:left="89" w:right="116"/>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1" w:line="256" w:lineRule="exact"/>
              <w:ind w:left="89" w:right="73"/>
              <w:jc w:val="center"/>
              <w:rPr>
                <w:rFonts w:ascii="Times New Roman"/>
                <w:sz w:val="24"/>
              </w:rPr>
            </w:pPr>
            <w:r>
              <w:rPr>
                <w:rFonts w:ascii="Times New Roman"/>
                <w:sz w:val="24"/>
              </w:rPr>
              <w:t>50</w:t>
            </w:r>
          </w:p>
        </w:tc>
        <w:tc>
          <w:tcPr>
            <w:tcW w:w="851" w:type="dxa"/>
          </w:tcPr>
          <w:p>
            <w:pPr>
              <w:pStyle w:val="11"/>
              <w:spacing w:before="155"/>
              <w:ind w:left="66" w:right="52"/>
              <w:jc w:val="center"/>
              <w:rPr>
                <w:rFonts w:ascii="Times New Roman" w:hAnsi="Times New Roman"/>
                <w:sz w:val="24"/>
              </w:rPr>
            </w:pPr>
            <w:r>
              <w:rPr>
                <w:rFonts w:ascii="Times New Roman" w:hAnsi="Times New Roman"/>
                <w:sz w:val="24"/>
              </w:rPr>
              <w:t>≥60</w:t>
            </w:r>
          </w:p>
        </w:tc>
        <w:tc>
          <w:tcPr>
            <w:tcW w:w="813" w:type="dxa"/>
          </w:tcPr>
          <w:p>
            <w:pPr>
              <w:pStyle w:val="11"/>
              <w:spacing w:before="155"/>
              <w:ind w:left="170" w:right="167"/>
              <w:jc w:val="center"/>
              <w:rPr>
                <w:rFonts w:ascii="Times New Roman" w:hAnsi="Times New Roman"/>
                <w:sz w:val="24"/>
              </w:rPr>
            </w:pPr>
            <w:r>
              <w:rPr>
                <w:rFonts w:ascii="Times New Roman" w:hAnsi="Times New Roman"/>
                <w:sz w:val="24"/>
              </w:rPr>
              <w:t>≥70</w:t>
            </w:r>
          </w:p>
        </w:tc>
        <w:tc>
          <w:tcPr>
            <w:tcW w:w="1089" w:type="dxa"/>
          </w:tcPr>
          <w:p>
            <w:pPr>
              <w:pStyle w:val="11"/>
              <w:spacing w:before="139"/>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before="1"/>
              <w:ind w:left="108"/>
              <w:rPr>
                <w:sz w:val="21"/>
              </w:rPr>
            </w:pPr>
            <w:r>
              <w:rPr>
                <w:sz w:val="21"/>
              </w:rPr>
              <w:t>说明：按照国家基本公共卫生服务规范要求进行糖尿病患者健康管理的人数占年</w:t>
            </w:r>
          </w:p>
          <w:p>
            <w:pPr>
              <w:pStyle w:val="11"/>
              <w:spacing w:before="2" w:line="252" w:lineRule="exact"/>
              <w:ind w:left="108"/>
              <w:rPr>
                <w:sz w:val="21"/>
              </w:rPr>
            </w:pPr>
            <w:r>
              <w:rPr>
                <w:sz w:val="21"/>
              </w:rPr>
              <w:t>内已管理的糖尿病患者人数的比例。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1"/>
              <w:rPr>
                <w:rFonts w:ascii="宋体"/>
                <w:b/>
                <w:sz w:val="29"/>
              </w:rPr>
            </w:pPr>
          </w:p>
          <w:p>
            <w:pPr>
              <w:pStyle w:val="11"/>
              <w:spacing w:before="1"/>
              <w:ind w:left="165"/>
              <w:rPr>
                <w:rFonts w:ascii="Times New Roman"/>
                <w:sz w:val="24"/>
              </w:rPr>
            </w:pPr>
            <w:r>
              <w:rPr>
                <w:rFonts w:ascii="Times New Roman"/>
                <w:sz w:val="24"/>
              </w:rPr>
              <w:t>104</w:t>
            </w:r>
          </w:p>
        </w:tc>
        <w:tc>
          <w:tcPr>
            <w:tcW w:w="3458" w:type="dxa"/>
          </w:tcPr>
          <w:p>
            <w:pPr>
              <w:pStyle w:val="11"/>
              <w:spacing w:before="138"/>
              <w:ind w:left="108"/>
              <w:rPr>
                <w:rFonts w:hint="eastAsia" w:ascii="仿宋" w:eastAsia="仿宋"/>
                <w:b/>
                <w:sz w:val="24"/>
              </w:rPr>
            </w:pPr>
            <w:r>
              <w:rPr>
                <w:rFonts w:hint="eastAsia" w:ascii="仿宋" w:eastAsia="仿宋"/>
                <w:b/>
                <w:sz w:val="24"/>
              </w:rPr>
              <w:t>糖尿病治疗率（</w:t>
            </w:r>
            <w:r>
              <w:rPr>
                <w:rFonts w:ascii="Times New Roman" w:eastAsia="Times New Roman"/>
                <w:b/>
                <w:sz w:val="24"/>
              </w:rPr>
              <w:t>%</w:t>
            </w:r>
            <w:r>
              <w:rPr>
                <w:rFonts w:hint="eastAsia" w:ascii="仿宋" w:eastAsia="仿宋"/>
                <w:b/>
                <w:sz w:val="24"/>
              </w:rPr>
              <w:t>）</w:t>
            </w:r>
          </w:p>
        </w:tc>
        <w:tc>
          <w:tcPr>
            <w:tcW w:w="1282" w:type="dxa"/>
          </w:tcPr>
          <w:p>
            <w:pPr>
              <w:pStyle w:val="11"/>
              <w:spacing w:before="2"/>
              <w:ind w:left="89" w:right="116"/>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line="256" w:lineRule="exact"/>
              <w:ind w:left="89" w:right="76"/>
              <w:jc w:val="center"/>
              <w:rPr>
                <w:rFonts w:ascii="Times New Roman"/>
                <w:sz w:val="24"/>
              </w:rPr>
            </w:pPr>
            <w:r>
              <w:rPr>
                <w:rFonts w:ascii="Times New Roman"/>
                <w:sz w:val="24"/>
              </w:rPr>
              <w:t>33.4</w:t>
            </w:r>
          </w:p>
        </w:tc>
        <w:tc>
          <w:tcPr>
            <w:tcW w:w="1664" w:type="dxa"/>
            <w:gridSpan w:val="2"/>
          </w:tcPr>
          <w:p>
            <w:pPr>
              <w:pStyle w:val="11"/>
              <w:spacing w:before="138"/>
              <w:ind w:left="345"/>
              <w:rPr>
                <w:rFonts w:hint="eastAsia" w:ascii="仿宋" w:eastAsia="仿宋"/>
                <w:sz w:val="24"/>
              </w:rPr>
            </w:pPr>
            <w:r>
              <w:rPr>
                <w:rFonts w:hint="eastAsia" w:ascii="仿宋" w:eastAsia="仿宋"/>
                <w:sz w:val="24"/>
              </w:rPr>
              <w:t>持续提高</w:t>
            </w:r>
          </w:p>
        </w:tc>
        <w:tc>
          <w:tcPr>
            <w:tcW w:w="1089" w:type="dxa"/>
          </w:tcPr>
          <w:p>
            <w:pPr>
              <w:pStyle w:val="11"/>
              <w:spacing w:before="138"/>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0"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before="1" w:line="242" w:lineRule="auto"/>
              <w:ind w:left="108" w:right="42"/>
              <w:rPr>
                <w:sz w:val="21"/>
              </w:rPr>
            </w:pPr>
            <w:r>
              <w:rPr>
                <w:sz w:val="21"/>
              </w:rPr>
              <w:t xml:space="preserve">说明：调查的 </w:t>
            </w:r>
            <w:r>
              <w:rPr>
                <w:rFonts w:ascii="Times New Roman" w:eastAsia="Times New Roman"/>
                <w:sz w:val="21"/>
              </w:rPr>
              <w:t xml:space="preserve">18 </w:t>
            </w:r>
            <w:r>
              <w:rPr>
                <w:sz w:val="21"/>
              </w:rPr>
              <w:t>岁及以上糖尿病人群中，采取控制和治疗措施（包括生活方式改变和（或）药物）者所占的比例。</w:t>
            </w:r>
          </w:p>
          <w:p>
            <w:pPr>
              <w:pStyle w:val="11"/>
              <w:spacing w:before="1"/>
              <w:ind w:left="108"/>
              <w:rPr>
                <w:sz w:val="21"/>
              </w:rPr>
            </w:pPr>
            <w:r>
              <w:rPr>
                <w:sz w:val="21"/>
              </w:rPr>
              <w:t>计算方法：采取控制和治疗措施（包括生活方式改变和（或）药物）者</w:t>
            </w:r>
            <w:r>
              <w:rPr>
                <w:rFonts w:ascii="Times New Roman" w:eastAsia="Times New Roman"/>
                <w:sz w:val="21"/>
              </w:rPr>
              <w:t>/</w:t>
            </w:r>
            <w:r>
              <w:rPr>
                <w:sz w:val="21"/>
              </w:rPr>
              <w:t>调查确</w:t>
            </w:r>
          </w:p>
          <w:p>
            <w:pPr>
              <w:pStyle w:val="11"/>
              <w:spacing w:before="2" w:line="253" w:lineRule="exact"/>
              <w:ind w:left="108"/>
              <w:rPr>
                <w:sz w:val="21"/>
              </w:rPr>
            </w:pPr>
            <w:r>
              <w:rPr>
                <w:sz w:val="21"/>
              </w:rPr>
              <w:t>定的糖尿病人群患者数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tcBorders>
          </w:tcPr>
          <w:p>
            <w:pPr>
              <w:rPr>
                <w:sz w:val="2"/>
                <w:szCs w:val="2"/>
              </w:rPr>
            </w:pPr>
          </w:p>
        </w:tc>
        <w:tc>
          <w:tcPr>
            <w:tcW w:w="693" w:type="dxa"/>
            <w:vMerge w:val="restart"/>
          </w:tcPr>
          <w:p>
            <w:pPr>
              <w:pStyle w:val="11"/>
              <w:spacing w:before="12"/>
              <w:rPr>
                <w:rFonts w:ascii="宋体"/>
                <w:b/>
                <w:sz w:val="33"/>
              </w:rPr>
            </w:pPr>
          </w:p>
          <w:p>
            <w:pPr>
              <w:pStyle w:val="11"/>
              <w:ind w:left="165"/>
              <w:rPr>
                <w:rFonts w:ascii="Times New Roman"/>
                <w:sz w:val="24"/>
              </w:rPr>
            </w:pPr>
            <w:r>
              <w:rPr>
                <w:rFonts w:ascii="Times New Roman"/>
                <w:sz w:val="24"/>
              </w:rPr>
              <w:t>105</w:t>
            </w:r>
          </w:p>
        </w:tc>
        <w:tc>
          <w:tcPr>
            <w:tcW w:w="3458" w:type="dxa"/>
          </w:tcPr>
          <w:p>
            <w:pPr>
              <w:pStyle w:val="11"/>
              <w:spacing w:before="138"/>
              <w:ind w:left="108"/>
              <w:rPr>
                <w:rFonts w:hint="eastAsia" w:ascii="仿宋" w:eastAsia="仿宋"/>
                <w:b/>
                <w:sz w:val="24"/>
              </w:rPr>
            </w:pPr>
            <w:r>
              <w:rPr>
                <w:rFonts w:hint="eastAsia" w:ascii="仿宋" w:eastAsia="仿宋"/>
                <w:b/>
                <w:sz w:val="24"/>
              </w:rPr>
              <w:t>糖尿病控制率（</w:t>
            </w:r>
            <w:r>
              <w:rPr>
                <w:rFonts w:ascii="Times New Roman" w:eastAsia="Times New Roman"/>
                <w:b/>
                <w:sz w:val="24"/>
              </w:rPr>
              <w:t>%</w:t>
            </w:r>
            <w:r>
              <w:rPr>
                <w:rFonts w:hint="eastAsia" w:ascii="仿宋" w:eastAsia="仿宋"/>
                <w:b/>
                <w:sz w:val="24"/>
              </w:rPr>
              <w:t>）</w:t>
            </w:r>
          </w:p>
        </w:tc>
        <w:tc>
          <w:tcPr>
            <w:tcW w:w="1282" w:type="dxa"/>
          </w:tcPr>
          <w:p>
            <w:pPr>
              <w:pStyle w:val="11"/>
              <w:spacing w:before="1"/>
              <w:ind w:left="89" w:right="116"/>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line="257" w:lineRule="exact"/>
              <w:ind w:left="89" w:right="76"/>
              <w:jc w:val="center"/>
              <w:rPr>
                <w:rFonts w:ascii="Times New Roman"/>
                <w:sz w:val="24"/>
              </w:rPr>
            </w:pPr>
            <w:r>
              <w:rPr>
                <w:rFonts w:ascii="Times New Roman"/>
                <w:sz w:val="24"/>
              </w:rPr>
              <w:t>30.6</w:t>
            </w:r>
          </w:p>
        </w:tc>
        <w:tc>
          <w:tcPr>
            <w:tcW w:w="1664" w:type="dxa"/>
            <w:gridSpan w:val="2"/>
          </w:tcPr>
          <w:p>
            <w:pPr>
              <w:pStyle w:val="11"/>
              <w:spacing w:before="138"/>
              <w:ind w:left="345"/>
              <w:rPr>
                <w:rFonts w:hint="eastAsia" w:ascii="仿宋" w:eastAsia="仿宋"/>
                <w:sz w:val="24"/>
              </w:rPr>
            </w:pPr>
            <w:r>
              <w:rPr>
                <w:rFonts w:hint="eastAsia" w:ascii="仿宋" w:eastAsia="仿宋"/>
                <w:sz w:val="24"/>
              </w:rPr>
              <w:t>持续提高</w:t>
            </w:r>
          </w:p>
        </w:tc>
        <w:tc>
          <w:tcPr>
            <w:tcW w:w="1089" w:type="dxa"/>
          </w:tcPr>
          <w:p>
            <w:pPr>
              <w:pStyle w:val="11"/>
              <w:spacing w:before="138"/>
              <w:ind w:right="172"/>
              <w:jc w:val="right"/>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2"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ind w:left="108"/>
              <w:rPr>
                <w:sz w:val="21"/>
              </w:rPr>
            </w:pPr>
            <w:r>
              <w:rPr>
                <w:sz w:val="21"/>
              </w:rPr>
              <w:t xml:space="preserve">说明：调查的 </w:t>
            </w:r>
            <w:r>
              <w:rPr>
                <w:rFonts w:ascii="Times New Roman" w:eastAsia="Times New Roman"/>
                <w:sz w:val="21"/>
              </w:rPr>
              <w:t xml:space="preserve">18 </w:t>
            </w:r>
            <w:r>
              <w:rPr>
                <w:sz w:val="21"/>
              </w:rPr>
              <w:t xml:space="preserve">岁及以上糖尿病人群中，空腹血糖控制在 </w:t>
            </w:r>
            <w:r>
              <w:rPr>
                <w:rFonts w:ascii="Times New Roman" w:eastAsia="Times New Roman"/>
                <w:sz w:val="21"/>
              </w:rPr>
              <w:t xml:space="preserve">7.0mmol/L </w:t>
            </w:r>
            <w:r>
              <w:rPr>
                <w:sz w:val="21"/>
              </w:rPr>
              <w:t>及以下或</w:t>
            </w:r>
          </w:p>
          <w:p>
            <w:pPr>
              <w:pStyle w:val="11"/>
              <w:spacing w:before="2" w:line="251" w:lineRule="exact"/>
              <w:ind w:left="108"/>
              <w:rPr>
                <w:sz w:val="21"/>
              </w:rPr>
            </w:pPr>
            <w:r>
              <w:rPr>
                <w:sz w:val="21"/>
              </w:rPr>
              <w:t xml:space="preserve">糖化血红蛋白控制在 </w:t>
            </w:r>
            <w:r>
              <w:rPr>
                <w:rFonts w:ascii="Times New Roman" w:eastAsia="Times New Roman"/>
                <w:sz w:val="21"/>
              </w:rPr>
              <w:t>7%</w:t>
            </w:r>
            <w:r>
              <w:rPr>
                <w:sz w:val="21"/>
              </w:rPr>
              <w:t>及以下者所占的比例。</w:t>
            </w:r>
          </w:p>
        </w:tc>
      </w:tr>
    </w:tbl>
    <w:p>
      <w:pPr>
        <w:spacing w:after="0" w:line="251" w:lineRule="exact"/>
        <w:rPr>
          <w:sz w:val="21"/>
        </w:rPr>
        <w:sectPr>
          <w:pgSz w:w="11910" w:h="16840"/>
          <w:pgMar w:top="1420" w:right="1140" w:bottom="1300" w:left="1400" w:header="0" w:footer="1120" w:gutter="0"/>
        </w:sectPr>
      </w:pPr>
    </w:p>
    <w:tbl>
      <w:tblPr>
        <w:tblStyle w:val="7"/>
        <w:tblW w:w="8881"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9"/>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9" w:type="dxa"/>
          </w:tcPr>
          <w:p>
            <w:pPr>
              <w:pStyle w:val="11"/>
              <w:spacing w:before="1"/>
              <w:rPr>
                <w:rFonts w:ascii="宋体"/>
                <w:b/>
                <w:sz w:val="23"/>
              </w:rPr>
            </w:pPr>
          </w:p>
          <w:p>
            <w:pPr>
              <w:pStyle w:val="11"/>
              <w:ind w:left="1468" w:right="1456"/>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5"/>
              <w:jc w:val="center"/>
              <w:rPr>
                <w:rFonts w:hint="eastAsia" w:ascii="黑体" w:eastAsia="黑体"/>
                <w:sz w:val="24"/>
              </w:rPr>
            </w:pPr>
            <w:r>
              <w:rPr>
                <w:rFonts w:hint="eastAsia" w:ascii="黑体" w:eastAsia="黑体"/>
                <w:sz w:val="24"/>
              </w:rPr>
              <w:t>基期水平</w:t>
            </w:r>
          </w:p>
        </w:tc>
        <w:tc>
          <w:tcPr>
            <w:tcW w:w="851" w:type="dxa"/>
          </w:tcPr>
          <w:p>
            <w:pPr>
              <w:pStyle w:val="11"/>
              <w:ind w:left="184"/>
              <w:rPr>
                <w:rFonts w:ascii="Times New Roman"/>
                <w:sz w:val="24"/>
              </w:rPr>
            </w:pPr>
            <w:r>
              <w:rPr>
                <w:rFonts w:ascii="Times New Roman"/>
                <w:sz w:val="24"/>
              </w:rPr>
              <w:t>2022</w:t>
            </w:r>
          </w:p>
          <w:p>
            <w:pPr>
              <w:pStyle w:val="11"/>
              <w:ind w:left="184"/>
              <w:rPr>
                <w:rFonts w:hint="eastAsia" w:ascii="黑体" w:eastAsia="黑体"/>
                <w:sz w:val="24"/>
              </w:rPr>
            </w:pPr>
            <w:r>
              <w:rPr>
                <w:rFonts w:hint="eastAsia" w:ascii="黑体" w:eastAsia="黑体"/>
                <w:sz w:val="24"/>
              </w:rPr>
              <w:t>年目</w:t>
            </w:r>
          </w:p>
          <w:p>
            <w:pPr>
              <w:pStyle w:val="11"/>
              <w:spacing w:before="5" w:line="289" w:lineRule="exact"/>
              <w:ind w:left="184"/>
              <w:rPr>
                <w:rFonts w:hint="eastAsia" w:ascii="黑体" w:eastAsia="黑体"/>
                <w:sz w:val="24"/>
              </w:rPr>
            </w:pPr>
            <w:r>
              <w:rPr>
                <w:rFonts w:hint="eastAsia" w:ascii="黑体" w:eastAsia="黑体"/>
                <w:sz w:val="24"/>
              </w:rPr>
              <w:t>标值</w:t>
            </w:r>
          </w:p>
        </w:tc>
        <w:tc>
          <w:tcPr>
            <w:tcW w:w="851" w:type="dxa"/>
          </w:tcPr>
          <w:p>
            <w:pPr>
              <w:pStyle w:val="11"/>
              <w:ind w:left="182"/>
              <w:rPr>
                <w:rFonts w:ascii="Times New Roman"/>
                <w:sz w:val="24"/>
              </w:rPr>
            </w:pPr>
            <w:r>
              <w:rPr>
                <w:rFonts w:ascii="Times New Roman"/>
                <w:sz w:val="24"/>
              </w:rPr>
              <w:t>2030</w:t>
            </w:r>
          </w:p>
          <w:p>
            <w:pPr>
              <w:pStyle w:val="11"/>
              <w:ind w:left="182"/>
              <w:rPr>
                <w:rFonts w:hint="eastAsia" w:ascii="黑体" w:eastAsia="黑体"/>
                <w:sz w:val="24"/>
              </w:rPr>
            </w:pPr>
            <w:r>
              <w:rPr>
                <w:rFonts w:hint="eastAsia" w:ascii="黑体" w:eastAsia="黑体"/>
                <w:sz w:val="24"/>
              </w:rPr>
              <w:t>年目</w:t>
            </w:r>
          </w:p>
          <w:p>
            <w:pPr>
              <w:pStyle w:val="11"/>
              <w:spacing w:before="5" w:line="289" w:lineRule="exact"/>
              <w:ind w:left="182"/>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4" w:right="268"/>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0" w:hRule="atLeast"/>
        </w:trPr>
        <w:tc>
          <w:tcPr>
            <w:tcW w:w="695" w:type="dxa"/>
            <w:tcBorders>
              <w:bottom w:val="nil"/>
            </w:tcBorders>
          </w:tcPr>
          <w:p>
            <w:pPr>
              <w:pStyle w:val="11"/>
              <w:spacing w:before="9"/>
              <w:rPr>
                <w:rFonts w:ascii="宋体"/>
                <w:b/>
                <w:sz w:val="21"/>
              </w:rPr>
            </w:pPr>
          </w:p>
          <w:p>
            <w:pPr>
              <w:pStyle w:val="11"/>
              <w:spacing w:line="282" w:lineRule="exact"/>
              <w:ind w:left="69" w:right="42"/>
              <w:jc w:val="center"/>
              <w:rPr>
                <w:rFonts w:hint="eastAsia" w:ascii="黑体" w:eastAsia="黑体"/>
                <w:sz w:val="24"/>
              </w:rPr>
            </w:pPr>
            <w:r>
              <w:rPr>
                <w:rFonts w:hint="eastAsia" w:ascii="黑体" w:eastAsia="黑体"/>
                <w:w w:val="55"/>
                <w:sz w:val="24"/>
              </w:rPr>
              <w:t>（十一）</w:t>
            </w:r>
          </w:p>
        </w:tc>
        <w:tc>
          <w:tcPr>
            <w:tcW w:w="693" w:type="dxa"/>
            <w:vMerge w:val="restart"/>
          </w:tcPr>
          <w:p>
            <w:pPr>
              <w:pStyle w:val="11"/>
              <w:spacing w:before="183"/>
              <w:ind w:left="165"/>
              <w:rPr>
                <w:rFonts w:ascii="Times New Roman"/>
                <w:sz w:val="24"/>
              </w:rPr>
            </w:pPr>
            <w:r>
              <w:rPr>
                <w:rFonts w:ascii="Times New Roman"/>
                <w:sz w:val="24"/>
              </w:rPr>
              <w:t>106</w:t>
            </w:r>
          </w:p>
        </w:tc>
        <w:tc>
          <w:tcPr>
            <w:tcW w:w="3459" w:type="dxa"/>
            <w:vMerge w:val="restart"/>
          </w:tcPr>
          <w:p>
            <w:pPr>
              <w:pStyle w:val="11"/>
              <w:spacing w:before="167"/>
              <w:ind w:left="108" w:right="-29"/>
              <w:rPr>
                <w:rFonts w:hint="eastAsia" w:ascii="仿宋" w:eastAsia="仿宋"/>
                <w:b/>
                <w:sz w:val="24"/>
              </w:rPr>
            </w:pPr>
            <w:r>
              <w:rPr>
                <w:rFonts w:hint="eastAsia" w:ascii="仿宋" w:eastAsia="仿宋"/>
                <w:b/>
                <w:spacing w:val="-1"/>
                <w:sz w:val="24"/>
              </w:rPr>
              <w:t>癌症防治核心知识知晓率</w:t>
            </w:r>
            <w:r>
              <w:rPr>
                <w:rFonts w:hint="eastAsia" w:ascii="仿宋" w:eastAsia="仿宋"/>
                <w:b/>
                <w:spacing w:val="-5"/>
                <w:sz w:val="24"/>
              </w:rPr>
              <w:t>（</w:t>
            </w:r>
            <w:r>
              <w:rPr>
                <w:rFonts w:ascii="Times New Roman" w:eastAsia="Times New Roman"/>
                <w:b/>
                <w:spacing w:val="-5"/>
                <w:sz w:val="24"/>
              </w:rPr>
              <w:t>%</w:t>
            </w:r>
            <w:r>
              <w:rPr>
                <w:rFonts w:hint="eastAsia" w:ascii="仿宋" w:eastAsia="仿宋"/>
                <w:b/>
                <w:spacing w:val="-5"/>
                <w:sz w:val="24"/>
              </w:rPr>
              <w:t>）</w:t>
            </w:r>
          </w:p>
        </w:tc>
        <w:tc>
          <w:tcPr>
            <w:tcW w:w="1282" w:type="dxa"/>
            <w:vMerge w:val="restart"/>
          </w:tcPr>
          <w:p>
            <w:pPr>
              <w:pStyle w:val="11"/>
              <w:spacing w:before="183"/>
              <w:ind w:left="429"/>
              <w:rPr>
                <w:rFonts w:ascii="Times New Roman"/>
                <w:sz w:val="24"/>
              </w:rPr>
            </w:pPr>
            <w:r>
              <w:rPr>
                <w:rFonts w:ascii="Times New Roman"/>
                <w:sz w:val="24"/>
              </w:rPr>
              <w:t>66.4</w:t>
            </w:r>
          </w:p>
        </w:tc>
        <w:tc>
          <w:tcPr>
            <w:tcW w:w="851" w:type="dxa"/>
            <w:vMerge w:val="restart"/>
          </w:tcPr>
          <w:p>
            <w:pPr>
              <w:pStyle w:val="11"/>
              <w:spacing w:before="183"/>
              <w:ind w:left="239"/>
              <w:rPr>
                <w:rFonts w:ascii="Times New Roman" w:hAnsi="Times New Roman"/>
                <w:sz w:val="24"/>
              </w:rPr>
            </w:pPr>
            <w:r>
              <w:rPr>
                <w:rFonts w:ascii="Times New Roman" w:hAnsi="Times New Roman"/>
                <w:sz w:val="24"/>
              </w:rPr>
              <w:t>≥70</w:t>
            </w:r>
          </w:p>
        </w:tc>
        <w:tc>
          <w:tcPr>
            <w:tcW w:w="851" w:type="dxa"/>
            <w:vMerge w:val="restart"/>
          </w:tcPr>
          <w:p>
            <w:pPr>
              <w:pStyle w:val="11"/>
              <w:spacing w:before="183"/>
              <w:ind w:left="237"/>
              <w:rPr>
                <w:rFonts w:ascii="Times New Roman" w:hAnsi="Times New Roman"/>
                <w:sz w:val="24"/>
              </w:rPr>
            </w:pPr>
            <w:r>
              <w:rPr>
                <w:rFonts w:ascii="Times New Roman" w:hAnsi="Times New Roman"/>
                <w:sz w:val="24"/>
              </w:rPr>
              <w:t>≥80</w:t>
            </w:r>
          </w:p>
        </w:tc>
        <w:tc>
          <w:tcPr>
            <w:tcW w:w="1050" w:type="dxa"/>
            <w:vMerge w:val="restart"/>
          </w:tcPr>
          <w:p>
            <w:pPr>
              <w:pStyle w:val="11"/>
              <w:spacing w:before="167"/>
              <w:ind w:left="164"/>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 w:hRule="atLeast"/>
        </w:trPr>
        <w:tc>
          <w:tcPr>
            <w:tcW w:w="695" w:type="dxa"/>
            <w:vMerge w:val="restart"/>
            <w:tcBorders>
              <w:top w:val="nil"/>
              <w:bottom w:val="nil"/>
            </w:tcBorders>
          </w:tcPr>
          <w:p>
            <w:pPr>
              <w:pStyle w:val="11"/>
              <w:spacing w:line="302" w:lineRule="exact"/>
              <w:ind w:left="27"/>
              <w:jc w:val="center"/>
              <w:rPr>
                <w:rFonts w:hint="eastAsia" w:ascii="黑体" w:eastAsia="黑体"/>
                <w:sz w:val="24"/>
              </w:rPr>
            </w:pPr>
            <w:r>
              <w:rPr>
                <w:rFonts w:hint="eastAsia" w:ascii="黑体" w:eastAsia="黑体"/>
                <w:w w:val="50"/>
                <w:sz w:val="24"/>
              </w:rPr>
              <w:t>～</w:t>
            </w:r>
          </w:p>
          <w:p>
            <w:pPr>
              <w:pStyle w:val="11"/>
              <w:spacing w:before="2" w:line="242" w:lineRule="auto"/>
              <w:ind w:left="116" w:right="86"/>
              <w:jc w:val="center"/>
              <w:rPr>
                <w:rFonts w:hint="eastAsia" w:ascii="黑体" w:eastAsia="黑体"/>
                <w:sz w:val="22"/>
              </w:rPr>
            </w:pPr>
            <w:r>
              <w:rPr>
                <w:rFonts w:hint="eastAsia" w:ascii="黑体" w:eastAsia="黑体"/>
                <w:w w:val="50"/>
                <w:sz w:val="24"/>
              </w:rPr>
              <w:t>（十</w:t>
            </w:r>
            <w:r>
              <w:rPr>
                <w:rFonts w:hint="eastAsia" w:ascii="黑体" w:eastAsia="黑体"/>
                <w:w w:val="50"/>
                <w:sz w:val="22"/>
              </w:rPr>
              <w:t xml:space="preserve">四） </w:t>
            </w:r>
            <w:r>
              <w:rPr>
                <w:rFonts w:hint="eastAsia" w:ascii="黑体" w:eastAsia="黑体"/>
                <w:w w:val="90"/>
                <w:sz w:val="22"/>
              </w:rPr>
              <w:t>心</w:t>
            </w:r>
          </w:p>
        </w:tc>
        <w:tc>
          <w:tcPr>
            <w:tcW w:w="693" w:type="dxa"/>
            <w:vMerge w:val="continue"/>
            <w:tcBorders>
              <w:top w:val="nil"/>
            </w:tcBorders>
          </w:tcPr>
          <w:p>
            <w:pPr>
              <w:rPr>
                <w:sz w:val="2"/>
                <w:szCs w:val="2"/>
              </w:rPr>
            </w:pPr>
          </w:p>
        </w:tc>
        <w:tc>
          <w:tcPr>
            <w:tcW w:w="3459" w:type="dxa"/>
            <w:vMerge w:val="continue"/>
            <w:tcBorders>
              <w:top w:val="nil"/>
            </w:tcBorders>
          </w:tcPr>
          <w:p>
            <w:pPr>
              <w:rPr>
                <w:sz w:val="2"/>
                <w:szCs w:val="2"/>
              </w:rPr>
            </w:pPr>
          </w:p>
        </w:tc>
        <w:tc>
          <w:tcPr>
            <w:tcW w:w="1282"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105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bottom w:val="nil"/>
            </w:tcBorders>
          </w:tcPr>
          <w:p>
            <w:pPr>
              <w:rPr>
                <w:sz w:val="2"/>
                <w:szCs w:val="2"/>
              </w:rPr>
            </w:pPr>
          </w:p>
        </w:tc>
        <w:tc>
          <w:tcPr>
            <w:tcW w:w="693" w:type="dxa"/>
            <w:vMerge w:val="restart"/>
            <w:tcBorders>
              <w:bottom w:val="nil"/>
            </w:tcBorders>
          </w:tcPr>
          <w:p>
            <w:pPr>
              <w:pStyle w:val="11"/>
              <w:rPr>
                <w:rFonts w:ascii="Times New Roman"/>
                <w:sz w:val="22"/>
              </w:rPr>
            </w:pPr>
          </w:p>
        </w:tc>
        <w:tc>
          <w:tcPr>
            <w:tcW w:w="3459" w:type="dxa"/>
          </w:tcPr>
          <w:p>
            <w:pPr>
              <w:pStyle w:val="11"/>
              <w:spacing w:before="156"/>
              <w:ind w:left="108" w:right="-29"/>
              <w:rPr>
                <w:rFonts w:hint="eastAsia" w:ascii="仿宋" w:eastAsia="仿宋"/>
                <w:b/>
                <w:sz w:val="24"/>
              </w:rPr>
            </w:pPr>
            <w:r>
              <w:rPr>
                <w:rFonts w:hint="eastAsia" w:ascii="仿宋" w:eastAsia="仿宋"/>
                <w:b/>
                <w:spacing w:val="-1"/>
                <w:sz w:val="24"/>
              </w:rPr>
              <w:t>高发地区重点癌种早诊率</w:t>
            </w:r>
            <w:r>
              <w:rPr>
                <w:rFonts w:hint="eastAsia" w:ascii="仿宋" w:eastAsia="仿宋"/>
                <w:b/>
                <w:spacing w:val="-5"/>
                <w:sz w:val="24"/>
              </w:rPr>
              <w:t>（</w:t>
            </w:r>
            <w:r>
              <w:rPr>
                <w:rFonts w:ascii="Times New Roman" w:eastAsia="Times New Roman"/>
                <w:b/>
                <w:spacing w:val="-5"/>
                <w:sz w:val="24"/>
              </w:rPr>
              <w:t>%</w:t>
            </w:r>
            <w:r>
              <w:rPr>
                <w:rFonts w:hint="eastAsia" w:ascii="仿宋" w:eastAsia="仿宋"/>
                <w:b/>
                <w:spacing w:val="-5"/>
                <w:sz w:val="24"/>
              </w:rPr>
              <w:t>）</w:t>
            </w:r>
          </w:p>
        </w:tc>
        <w:tc>
          <w:tcPr>
            <w:tcW w:w="1282" w:type="dxa"/>
          </w:tcPr>
          <w:p>
            <w:pPr>
              <w:pStyle w:val="11"/>
              <w:spacing w:before="20"/>
              <w:ind w:left="88" w:right="117"/>
              <w:jc w:val="center"/>
              <w:rPr>
                <w:rFonts w:hint="eastAsia" w:ascii="仿宋" w:eastAsia="仿宋"/>
                <w:sz w:val="24"/>
              </w:rPr>
            </w:pPr>
            <w:r>
              <w:rPr>
                <w:rFonts w:ascii="Times New Roman" w:eastAsia="Times New Roman"/>
                <w:sz w:val="24"/>
              </w:rPr>
              <w:t xml:space="preserve">2015 </w:t>
            </w:r>
            <w:r>
              <w:rPr>
                <w:rFonts w:hint="eastAsia" w:ascii="仿宋" w:eastAsia="仿宋"/>
                <w:sz w:val="24"/>
              </w:rPr>
              <w:t>年为</w:t>
            </w:r>
          </w:p>
          <w:p>
            <w:pPr>
              <w:pStyle w:val="11"/>
              <w:spacing w:before="1" w:line="274" w:lineRule="exact"/>
              <w:ind w:left="89" w:right="75"/>
              <w:jc w:val="center"/>
              <w:rPr>
                <w:rFonts w:ascii="Times New Roman"/>
                <w:sz w:val="24"/>
              </w:rPr>
            </w:pPr>
            <w:r>
              <w:rPr>
                <w:rFonts w:ascii="Times New Roman"/>
                <w:sz w:val="24"/>
              </w:rPr>
              <w:t>48</w:t>
            </w:r>
          </w:p>
        </w:tc>
        <w:tc>
          <w:tcPr>
            <w:tcW w:w="851" w:type="dxa"/>
          </w:tcPr>
          <w:p>
            <w:pPr>
              <w:pStyle w:val="11"/>
              <w:spacing w:before="172"/>
              <w:ind w:left="66" w:right="54"/>
              <w:jc w:val="center"/>
              <w:rPr>
                <w:rFonts w:ascii="Times New Roman" w:hAnsi="Times New Roman"/>
                <w:sz w:val="24"/>
              </w:rPr>
            </w:pPr>
            <w:r>
              <w:rPr>
                <w:rFonts w:ascii="Times New Roman" w:hAnsi="Times New Roman"/>
                <w:sz w:val="24"/>
              </w:rPr>
              <w:t>≥55</w:t>
            </w:r>
          </w:p>
        </w:tc>
        <w:tc>
          <w:tcPr>
            <w:tcW w:w="851" w:type="dxa"/>
          </w:tcPr>
          <w:p>
            <w:pPr>
              <w:pStyle w:val="11"/>
              <w:spacing w:line="310" w:lineRule="atLeast"/>
              <w:ind w:left="182" w:right="171"/>
              <w:rPr>
                <w:rFonts w:hint="eastAsia" w:ascii="仿宋" w:eastAsia="仿宋"/>
                <w:sz w:val="24"/>
              </w:rPr>
            </w:pPr>
            <w:r>
              <w:rPr>
                <w:rFonts w:hint="eastAsia" w:ascii="仿宋" w:eastAsia="仿宋"/>
                <w:sz w:val="24"/>
              </w:rPr>
              <w:t>持续提高</w:t>
            </w:r>
          </w:p>
        </w:tc>
        <w:tc>
          <w:tcPr>
            <w:tcW w:w="1050" w:type="dxa"/>
          </w:tcPr>
          <w:p>
            <w:pPr>
              <w:pStyle w:val="11"/>
              <w:spacing w:before="156"/>
              <w:ind w:left="143" w:right="129"/>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5" w:hRule="atLeast"/>
        </w:trPr>
        <w:tc>
          <w:tcPr>
            <w:tcW w:w="695" w:type="dxa"/>
            <w:vMerge w:val="continue"/>
            <w:tcBorders>
              <w:top w:val="nil"/>
              <w:bottom w:val="nil"/>
            </w:tcBorders>
          </w:tcPr>
          <w:p>
            <w:pPr>
              <w:rPr>
                <w:sz w:val="2"/>
                <w:szCs w:val="2"/>
              </w:rPr>
            </w:pPr>
          </w:p>
        </w:tc>
        <w:tc>
          <w:tcPr>
            <w:tcW w:w="693" w:type="dxa"/>
            <w:vMerge w:val="continue"/>
            <w:tcBorders>
              <w:top w:val="nil"/>
              <w:bottom w:val="nil"/>
            </w:tcBorders>
          </w:tcPr>
          <w:p>
            <w:pPr>
              <w:rPr>
                <w:sz w:val="2"/>
                <w:szCs w:val="2"/>
              </w:rPr>
            </w:pPr>
          </w:p>
        </w:tc>
        <w:tc>
          <w:tcPr>
            <w:tcW w:w="7493" w:type="dxa"/>
            <w:gridSpan w:val="5"/>
            <w:tcBorders>
              <w:bottom w:val="nil"/>
            </w:tcBorders>
          </w:tcPr>
          <w:p>
            <w:pPr>
              <w:pStyle w:val="11"/>
              <w:spacing w:line="215" w:lineRule="exact"/>
              <w:ind w:left="108"/>
              <w:rPr>
                <w:sz w:val="21"/>
              </w:rPr>
            </w:pPr>
            <w:r>
              <w:rPr>
                <w:sz w:val="21"/>
              </w:rPr>
              <w:t>说明：高发地区主要指癌症早诊早治项目覆盖的项目地区；重点癌种是指肺癌、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7" w:hRule="atLeast"/>
        </w:trPr>
        <w:tc>
          <w:tcPr>
            <w:tcW w:w="695" w:type="dxa"/>
            <w:tcBorders>
              <w:top w:val="nil"/>
              <w:bottom w:val="nil"/>
            </w:tcBorders>
          </w:tcPr>
          <w:p>
            <w:pPr>
              <w:pStyle w:val="11"/>
              <w:spacing w:line="248" w:lineRule="exact"/>
              <w:ind w:left="13"/>
              <w:jc w:val="center"/>
              <w:rPr>
                <w:rFonts w:hint="eastAsia" w:ascii="黑体" w:eastAsia="黑体"/>
                <w:sz w:val="22"/>
              </w:rPr>
            </w:pPr>
            <w:r>
              <w:rPr>
                <w:rFonts w:hint="eastAsia" w:ascii="黑体" w:eastAsia="黑体"/>
                <w:w w:val="100"/>
                <w:sz w:val="22"/>
              </w:rPr>
              <w:t>脑</w:t>
            </w:r>
          </w:p>
        </w:tc>
        <w:tc>
          <w:tcPr>
            <w:tcW w:w="693" w:type="dxa"/>
            <w:tcBorders>
              <w:top w:val="nil"/>
              <w:bottom w:val="nil"/>
            </w:tcBorders>
          </w:tcPr>
          <w:p>
            <w:pPr>
              <w:pStyle w:val="11"/>
              <w:spacing w:line="257" w:lineRule="exact"/>
              <w:ind w:left="145" w:right="133"/>
              <w:jc w:val="center"/>
              <w:rPr>
                <w:rFonts w:ascii="Times New Roman"/>
                <w:sz w:val="24"/>
              </w:rPr>
            </w:pPr>
            <w:r>
              <w:rPr>
                <w:rFonts w:ascii="Times New Roman"/>
                <w:sz w:val="24"/>
              </w:rPr>
              <w:t>107</w:t>
            </w:r>
          </w:p>
        </w:tc>
        <w:tc>
          <w:tcPr>
            <w:tcW w:w="7493" w:type="dxa"/>
            <w:gridSpan w:val="5"/>
            <w:tcBorders>
              <w:top w:val="nil"/>
              <w:bottom w:val="nil"/>
            </w:tcBorders>
          </w:tcPr>
          <w:p>
            <w:pPr>
              <w:pStyle w:val="11"/>
              <w:spacing w:before="36" w:line="221" w:lineRule="exact"/>
              <w:ind w:left="108"/>
              <w:rPr>
                <w:sz w:val="21"/>
              </w:rPr>
            </w:pPr>
            <w:r>
              <w:rPr>
                <w:sz w:val="21"/>
              </w:rPr>
              <w:t>肝癌、胃癌、食管癌、大肠癌、乳腺癌、宫颈癌；该指标是指发现的癌症患者中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695" w:type="dxa"/>
            <w:tcBorders>
              <w:top w:val="nil"/>
              <w:bottom w:val="nil"/>
            </w:tcBorders>
          </w:tcPr>
          <w:p>
            <w:pPr>
              <w:pStyle w:val="11"/>
              <w:spacing w:line="254" w:lineRule="exact"/>
              <w:ind w:left="13"/>
              <w:jc w:val="center"/>
              <w:rPr>
                <w:rFonts w:hint="eastAsia" w:ascii="黑体" w:eastAsia="黑体"/>
                <w:sz w:val="22"/>
              </w:rPr>
            </w:pPr>
            <w:r>
              <w:rPr>
                <w:rFonts w:hint="eastAsia" w:ascii="黑体" w:eastAsia="黑体"/>
                <w:w w:val="100"/>
                <w:sz w:val="22"/>
              </w:rPr>
              <w:t>血</w:t>
            </w:r>
          </w:p>
        </w:tc>
        <w:tc>
          <w:tcPr>
            <w:tcW w:w="693" w:type="dxa"/>
            <w:tcBorders>
              <w:top w:val="nil"/>
              <w:bottom w:val="nil"/>
            </w:tcBorders>
          </w:tcPr>
          <w:p>
            <w:pPr>
              <w:pStyle w:val="11"/>
              <w:rPr>
                <w:rFonts w:ascii="Times New Roman"/>
                <w:sz w:val="20"/>
              </w:rPr>
            </w:pPr>
          </w:p>
        </w:tc>
        <w:tc>
          <w:tcPr>
            <w:tcW w:w="7493" w:type="dxa"/>
            <w:gridSpan w:val="5"/>
            <w:tcBorders>
              <w:top w:val="nil"/>
              <w:bottom w:val="nil"/>
            </w:tcBorders>
          </w:tcPr>
          <w:p>
            <w:pPr>
              <w:pStyle w:val="11"/>
              <w:spacing w:before="32" w:line="227" w:lineRule="exact"/>
              <w:ind w:left="108"/>
              <w:rPr>
                <w:sz w:val="21"/>
              </w:rPr>
            </w:pPr>
            <w:r>
              <w:rPr>
                <w:sz w:val="21"/>
              </w:rPr>
              <w:t>患早期癌的比例。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7" w:hRule="atLeast"/>
        </w:trPr>
        <w:tc>
          <w:tcPr>
            <w:tcW w:w="695" w:type="dxa"/>
            <w:tcBorders>
              <w:top w:val="nil"/>
              <w:bottom w:val="nil"/>
            </w:tcBorders>
          </w:tcPr>
          <w:p>
            <w:pPr>
              <w:pStyle w:val="11"/>
              <w:spacing w:line="260" w:lineRule="exact"/>
              <w:ind w:left="13"/>
              <w:jc w:val="center"/>
              <w:rPr>
                <w:rFonts w:hint="eastAsia" w:ascii="黑体" w:eastAsia="黑体"/>
                <w:sz w:val="22"/>
              </w:rPr>
            </w:pPr>
            <w:r>
              <w:rPr>
                <w:rFonts w:hint="eastAsia" w:ascii="黑体" w:eastAsia="黑体"/>
                <w:w w:val="100"/>
                <w:sz w:val="22"/>
              </w:rPr>
              <w:t>管</w:t>
            </w:r>
          </w:p>
        </w:tc>
        <w:tc>
          <w:tcPr>
            <w:tcW w:w="693" w:type="dxa"/>
            <w:tcBorders>
              <w:top w:val="nil"/>
              <w:bottom w:val="nil"/>
            </w:tcBorders>
          </w:tcPr>
          <w:p>
            <w:pPr>
              <w:pStyle w:val="11"/>
              <w:rPr>
                <w:rFonts w:ascii="Times New Roman"/>
                <w:sz w:val="20"/>
              </w:rPr>
            </w:pPr>
          </w:p>
        </w:tc>
        <w:tc>
          <w:tcPr>
            <w:tcW w:w="7493" w:type="dxa"/>
            <w:gridSpan w:val="5"/>
            <w:tcBorders>
              <w:top w:val="nil"/>
              <w:bottom w:val="nil"/>
            </w:tcBorders>
          </w:tcPr>
          <w:p>
            <w:pPr>
              <w:pStyle w:val="11"/>
              <w:spacing w:before="26" w:line="241" w:lineRule="exact"/>
              <w:ind w:left="108"/>
              <w:rPr>
                <w:sz w:val="21"/>
              </w:rPr>
            </w:pPr>
            <w:r>
              <w:rPr>
                <w:sz w:val="21"/>
              </w:rPr>
              <w:t>计算方法：高发地区所有重点癌症筛查发现的癌症患者中患早期癌的例数</w:t>
            </w:r>
            <w:r>
              <w:rPr>
                <w:rFonts w:ascii="Times New Roman" w:eastAsia="Times New Roman"/>
                <w:sz w:val="21"/>
              </w:rPr>
              <w:t>/</w:t>
            </w:r>
            <w:r>
              <w:rPr>
                <w:sz w:val="21"/>
              </w:rPr>
              <w:t>筛查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2" w:hRule="atLeast"/>
        </w:trPr>
        <w:tc>
          <w:tcPr>
            <w:tcW w:w="695" w:type="dxa"/>
            <w:tcBorders>
              <w:top w:val="nil"/>
              <w:bottom w:val="nil"/>
            </w:tcBorders>
          </w:tcPr>
          <w:p>
            <w:pPr>
              <w:pStyle w:val="11"/>
              <w:spacing w:line="258" w:lineRule="exact"/>
              <w:ind w:left="13"/>
              <w:jc w:val="center"/>
              <w:rPr>
                <w:rFonts w:hint="eastAsia" w:ascii="黑体" w:eastAsia="黑体"/>
                <w:sz w:val="22"/>
              </w:rPr>
            </w:pPr>
            <w:r>
              <w:rPr>
                <w:rFonts w:hint="eastAsia" w:ascii="黑体" w:eastAsia="黑体"/>
                <w:w w:val="100"/>
                <w:sz w:val="22"/>
              </w:rPr>
              <w:t>疾</w:t>
            </w:r>
          </w:p>
        </w:tc>
        <w:tc>
          <w:tcPr>
            <w:tcW w:w="693" w:type="dxa"/>
            <w:tcBorders>
              <w:top w:val="nil"/>
            </w:tcBorders>
          </w:tcPr>
          <w:p>
            <w:pPr>
              <w:pStyle w:val="11"/>
              <w:rPr>
                <w:rFonts w:ascii="Times New Roman"/>
                <w:sz w:val="20"/>
              </w:rPr>
            </w:pPr>
          </w:p>
        </w:tc>
        <w:tc>
          <w:tcPr>
            <w:tcW w:w="7493" w:type="dxa"/>
            <w:gridSpan w:val="5"/>
            <w:tcBorders>
              <w:top w:val="nil"/>
            </w:tcBorders>
          </w:tcPr>
          <w:p>
            <w:pPr>
              <w:pStyle w:val="11"/>
              <w:spacing w:before="10" w:line="253" w:lineRule="exact"/>
              <w:ind w:left="108"/>
              <w:rPr>
                <w:sz w:val="21"/>
              </w:rPr>
            </w:pPr>
            <w:r>
              <w:rPr>
                <w:sz w:val="21"/>
              </w:rPr>
              <w:t>发现的患者总人数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9" w:hRule="atLeast"/>
        </w:trPr>
        <w:tc>
          <w:tcPr>
            <w:tcW w:w="695" w:type="dxa"/>
            <w:tcBorders>
              <w:top w:val="nil"/>
              <w:bottom w:val="nil"/>
            </w:tcBorders>
          </w:tcPr>
          <w:p>
            <w:pPr>
              <w:pStyle w:val="11"/>
              <w:spacing w:line="220" w:lineRule="exact"/>
              <w:ind w:left="13"/>
              <w:jc w:val="center"/>
              <w:rPr>
                <w:rFonts w:hint="eastAsia" w:ascii="黑体" w:eastAsia="黑体"/>
                <w:sz w:val="22"/>
              </w:rPr>
            </w:pPr>
            <w:r>
              <w:rPr>
                <w:rFonts w:hint="eastAsia" w:ascii="黑体" w:eastAsia="黑体"/>
                <w:w w:val="100"/>
                <w:sz w:val="22"/>
              </w:rPr>
              <w:t>病</w:t>
            </w:r>
          </w:p>
        </w:tc>
        <w:tc>
          <w:tcPr>
            <w:tcW w:w="693" w:type="dxa"/>
            <w:tcBorders>
              <w:bottom w:val="nil"/>
            </w:tcBorders>
          </w:tcPr>
          <w:p>
            <w:pPr>
              <w:pStyle w:val="11"/>
              <w:rPr>
                <w:rFonts w:ascii="Times New Roman"/>
                <w:sz w:val="16"/>
              </w:rPr>
            </w:pPr>
          </w:p>
        </w:tc>
        <w:tc>
          <w:tcPr>
            <w:tcW w:w="3459" w:type="dxa"/>
            <w:vMerge w:val="restart"/>
          </w:tcPr>
          <w:p>
            <w:pPr>
              <w:pStyle w:val="11"/>
              <w:spacing w:before="66" w:line="242" w:lineRule="auto"/>
              <w:ind w:left="108" w:right="74"/>
              <w:rPr>
                <w:rFonts w:hint="eastAsia" w:ascii="仿宋" w:eastAsia="仿宋"/>
                <w:b/>
                <w:sz w:val="24"/>
              </w:rPr>
            </w:pPr>
            <w:r>
              <w:rPr>
                <w:rFonts w:hint="eastAsia" w:ascii="仿宋" w:eastAsia="仿宋"/>
                <w:b/>
                <w:sz w:val="24"/>
              </w:rPr>
              <w:t>乡镇卫生院、社区卫生服务中心提供中医非药物疗法的比例</w:t>
            </w:r>
          </w:p>
          <w:p>
            <w:pPr>
              <w:pStyle w:val="11"/>
              <w:spacing w:before="1" w:line="242" w:lineRule="auto"/>
              <w:ind w:left="108" w:right="76"/>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），村卫生室提供中医非药物疗法的比例（</w:t>
            </w:r>
            <w:r>
              <w:rPr>
                <w:rFonts w:ascii="Times New Roman" w:eastAsia="Times New Roman"/>
                <w:b/>
                <w:sz w:val="24"/>
              </w:rPr>
              <w:t>%</w:t>
            </w:r>
            <w:r>
              <w:rPr>
                <w:rFonts w:hint="eastAsia" w:ascii="仿宋" w:eastAsia="仿宋"/>
                <w:b/>
                <w:sz w:val="24"/>
              </w:rPr>
              <w:t>）</w:t>
            </w:r>
          </w:p>
        </w:tc>
        <w:tc>
          <w:tcPr>
            <w:tcW w:w="1282" w:type="dxa"/>
            <w:tcBorders>
              <w:bottom w:val="nil"/>
            </w:tcBorders>
          </w:tcPr>
          <w:p>
            <w:pPr>
              <w:pStyle w:val="11"/>
              <w:rPr>
                <w:rFonts w:ascii="Times New Roman"/>
                <w:sz w:val="16"/>
              </w:rPr>
            </w:pPr>
          </w:p>
        </w:tc>
        <w:tc>
          <w:tcPr>
            <w:tcW w:w="851" w:type="dxa"/>
            <w:vMerge w:val="restart"/>
          </w:tcPr>
          <w:p>
            <w:pPr>
              <w:pStyle w:val="11"/>
              <w:spacing w:before="1"/>
              <w:rPr>
                <w:rFonts w:ascii="宋体"/>
                <w:b/>
                <w:sz w:val="32"/>
              </w:rPr>
            </w:pPr>
          </w:p>
          <w:p>
            <w:pPr>
              <w:pStyle w:val="11"/>
              <w:ind w:left="66" w:right="54"/>
              <w:jc w:val="center"/>
              <w:rPr>
                <w:rFonts w:ascii="Times New Roman"/>
                <w:sz w:val="24"/>
              </w:rPr>
            </w:pPr>
            <w:r>
              <w:rPr>
                <w:rFonts w:ascii="Times New Roman"/>
                <w:sz w:val="24"/>
              </w:rPr>
              <w:t>100</w:t>
            </w:r>
          </w:p>
          <w:p>
            <w:pPr>
              <w:pStyle w:val="11"/>
              <w:ind w:left="66" w:right="54"/>
              <w:jc w:val="center"/>
              <w:rPr>
                <w:rFonts w:ascii="Times New Roman"/>
                <w:sz w:val="24"/>
              </w:rPr>
            </w:pPr>
            <w:r>
              <w:rPr>
                <w:rFonts w:ascii="Times New Roman"/>
                <w:sz w:val="24"/>
              </w:rPr>
              <w:t>70</w:t>
            </w:r>
          </w:p>
        </w:tc>
        <w:tc>
          <w:tcPr>
            <w:tcW w:w="851" w:type="dxa"/>
            <w:vMerge w:val="restart"/>
          </w:tcPr>
          <w:p>
            <w:pPr>
              <w:pStyle w:val="11"/>
              <w:spacing w:before="1"/>
              <w:rPr>
                <w:rFonts w:ascii="宋体"/>
                <w:b/>
                <w:sz w:val="32"/>
              </w:rPr>
            </w:pPr>
          </w:p>
          <w:p>
            <w:pPr>
              <w:pStyle w:val="11"/>
              <w:ind w:left="65" w:right="56"/>
              <w:jc w:val="center"/>
              <w:rPr>
                <w:rFonts w:ascii="Times New Roman"/>
                <w:sz w:val="24"/>
              </w:rPr>
            </w:pPr>
            <w:r>
              <w:rPr>
                <w:rFonts w:ascii="Times New Roman"/>
                <w:sz w:val="24"/>
              </w:rPr>
              <w:t>100</w:t>
            </w:r>
          </w:p>
          <w:p>
            <w:pPr>
              <w:pStyle w:val="11"/>
              <w:ind w:left="65" w:right="56"/>
              <w:jc w:val="center"/>
              <w:rPr>
                <w:rFonts w:ascii="Times New Roman"/>
                <w:sz w:val="24"/>
              </w:rPr>
            </w:pPr>
            <w:r>
              <w:rPr>
                <w:rFonts w:ascii="Times New Roman"/>
                <w:sz w:val="24"/>
              </w:rPr>
              <w:t>80</w:t>
            </w:r>
          </w:p>
        </w:tc>
        <w:tc>
          <w:tcPr>
            <w:tcW w:w="1050" w:type="dxa"/>
            <w:tcBorders>
              <w:bottom w:val="nil"/>
            </w:tcBorders>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7" w:hRule="atLeast"/>
        </w:trPr>
        <w:tc>
          <w:tcPr>
            <w:tcW w:w="695" w:type="dxa"/>
            <w:tcBorders>
              <w:top w:val="nil"/>
              <w:bottom w:val="nil"/>
            </w:tcBorders>
          </w:tcPr>
          <w:p>
            <w:pPr>
              <w:pStyle w:val="11"/>
              <w:spacing w:line="247" w:lineRule="exact"/>
              <w:ind w:left="13"/>
              <w:jc w:val="center"/>
              <w:rPr>
                <w:rFonts w:hint="eastAsia" w:ascii="黑体" w:eastAsia="黑体"/>
                <w:sz w:val="22"/>
              </w:rPr>
            </w:pPr>
            <w:r>
              <w:rPr>
                <w:rFonts w:hint="eastAsia" w:ascii="黑体" w:eastAsia="黑体"/>
                <w:w w:val="100"/>
                <w:sz w:val="22"/>
              </w:rPr>
              <w:t>、</w:t>
            </w:r>
          </w:p>
        </w:tc>
        <w:tc>
          <w:tcPr>
            <w:tcW w:w="693" w:type="dxa"/>
            <w:tcBorders>
              <w:top w:val="nil"/>
              <w:bottom w:val="nil"/>
            </w:tcBorders>
          </w:tcPr>
          <w:p>
            <w:pPr>
              <w:pStyle w:val="11"/>
              <w:rPr>
                <w:rFonts w:ascii="Times New Roman"/>
                <w:sz w:val="18"/>
              </w:rPr>
            </w:pPr>
          </w:p>
        </w:tc>
        <w:tc>
          <w:tcPr>
            <w:tcW w:w="3459" w:type="dxa"/>
            <w:vMerge w:val="continue"/>
            <w:tcBorders>
              <w:top w:val="nil"/>
            </w:tcBorders>
          </w:tcPr>
          <w:p>
            <w:pPr>
              <w:rPr>
                <w:sz w:val="2"/>
                <w:szCs w:val="2"/>
              </w:rPr>
            </w:pPr>
          </w:p>
        </w:tc>
        <w:tc>
          <w:tcPr>
            <w:tcW w:w="1282" w:type="dxa"/>
            <w:tcBorders>
              <w:top w:val="nil"/>
              <w:bottom w:val="nil"/>
            </w:tcBorders>
          </w:tcPr>
          <w:p>
            <w:pPr>
              <w:pStyle w:val="11"/>
              <w:rPr>
                <w:rFonts w:ascii="Times New Roman"/>
                <w:sz w:val="18"/>
              </w:rPr>
            </w:pPr>
          </w:p>
        </w:tc>
        <w:tc>
          <w:tcPr>
            <w:tcW w:w="851"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1050" w:type="dxa"/>
            <w:tcBorders>
              <w:top w:val="nil"/>
              <w:bottom w:val="nil"/>
            </w:tcBorders>
          </w:tcPr>
          <w:p>
            <w:pPr>
              <w:pStyle w:val="11"/>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3" w:hRule="atLeast"/>
        </w:trPr>
        <w:tc>
          <w:tcPr>
            <w:tcW w:w="695" w:type="dxa"/>
            <w:tcBorders>
              <w:top w:val="nil"/>
              <w:bottom w:val="nil"/>
            </w:tcBorders>
          </w:tcPr>
          <w:p>
            <w:pPr>
              <w:pStyle w:val="11"/>
              <w:spacing w:line="273" w:lineRule="exact"/>
              <w:ind w:left="13"/>
              <w:jc w:val="center"/>
              <w:rPr>
                <w:rFonts w:hint="eastAsia" w:ascii="黑体" w:eastAsia="黑体"/>
                <w:sz w:val="22"/>
              </w:rPr>
            </w:pPr>
            <w:r>
              <w:rPr>
                <w:rFonts w:hint="eastAsia" w:ascii="黑体" w:eastAsia="黑体"/>
                <w:w w:val="100"/>
                <w:sz w:val="22"/>
              </w:rPr>
              <w:t>癌</w:t>
            </w:r>
          </w:p>
        </w:tc>
        <w:tc>
          <w:tcPr>
            <w:tcW w:w="693" w:type="dxa"/>
            <w:tcBorders>
              <w:top w:val="nil"/>
              <w:bottom w:val="nil"/>
            </w:tcBorders>
          </w:tcPr>
          <w:p>
            <w:pPr>
              <w:pStyle w:val="11"/>
              <w:spacing w:before="11" w:line="262" w:lineRule="exact"/>
              <w:ind w:left="145" w:right="133"/>
              <w:jc w:val="center"/>
              <w:rPr>
                <w:rFonts w:ascii="Times New Roman"/>
                <w:sz w:val="24"/>
              </w:rPr>
            </w:pPr>
            <w:r>
              <w:rPr>
                <w:rFonts w:ascii="Times New Roman"/>
                <w:sz w:val="24"/>
              </w:rPr>
              <w:t>108</w:t>
            </w:r>
          </w:p>
        </w:tc>
        <w:tc>
          <w:tcPr>
            <w:tcW w:w="3459" w:type="dxa"/>
            <w:vMerge w:val="continue"/>
            <w:tcBorders>
              <w:top w:val="nil"/>
            </w:tcBorders>
          </w:tcPr>
          <w:p>
            <w:pPr>
              <w:rPr>
                <w:sz w:val="2"/>
                <w:szCs w:val="2"/>
              </w:rPr>
            </w:pPr>
          </w:p>
        </w:tc>
        <w:tc>
          <w:tcPr>
            <w:tcW w:w="1282" w:type="dxa"/>
            <w:tcBorders>
              <w:top w:val="nil"/>
              <w:bottom w:val="nil"/>
            </w:tcBorders>
          </w:tcPr>
          <w:p>
            <w:pPr>
              <w:pStyle w:val="11"/>
              <w:spacing w:before="11" w:line="262" w:lineRule="exact"/>
              <w:ind w:left="18"/>
              <w:jc w:val="center"/>
              <w:rPr>
                <w:rFonts w:ascii="Times New Roman" w:hAnsi="Times New Roman"/>
                <w:sz w:val="24"/>
              </w:rPr>
            </w:pPr>
            <w:r>
              <w:rPr>
                <w:rFonts w:ascii="Times New Roman" w:hAnsi="Times New Roman"/>
                <w:sz w:val="24"/>
              </w:rPr>
              <w:t>—</w:t>
            </w:r>
          </w:p>
        </w:tc>
        <w:tc>
          <w:tcPr>
            <w:tcW w:w="851"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1050" w:type="dxa"/>
            <w:tcBorders>
              <w:top w:val="nil"/>
              <w:bottom w:val="nil"/>
            </w:tcBorders>
          </w:tcPr>
          <w:p>
            <w:pPr>
              <w:pStyle w:val="11"/>
              <w:spacing w:line="273" w:lineRule="exact"/>
              <w:ind w:left="143" w:right="129"/>
              <w:jc w:val="center"/>
              <w:rPr>
                <w:rFonts w:hint="eastAsia" w:ascii="仿宋" w:eastAsia="仿宋"/>
                <w:sz w:val="24"/>
              </w:rPr>
            </w:pPr>
            <w:r>
              <w:rPr>
                <w:rFonts w:hint="eastAsia" w:ascii="仿宋" w:eastAsia="仿宋"/>
                <w:sz w:val="24"/>
              </w:rPr>
              <w:t>约束性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0" w:hRule="atLeast"/>
        </w:trPr>
        <w:tc>
          <w:tcPr>
            <w:tcW w:w="695" w:type="dxa"/>
            <w:tcBorders>
              <w:top w:val="nil"/>
              <w:bottom w:val="nil"/>
            </w:tcBorders>
          </w:tcPr>
          <w:p>
            <w:pPr>
              <w:pStyle w:val="11"/>
              <w:spacing w:line="231" w:lineRule="exact"/>
              <w:ind w:left="13"/>
              <w:jc w:val="center"/>
              <w:rPr>
                <w:rFonts w:hint="eastAsia" w:ascii="黑体" w:eastAsia="黑体"/>
                <w:sz w:val="22"/>
              </w:rPr>
            </w:pPr>
            <w:r>
              <w:rPr>
                <w:rFonts w:hint="eastAsia" w:ascii="黑体" w:eastAsia="黑体"/>
                <w:w w:val="100"/>
                <w:sz w:val="22"/>
              </w:rPr>
              <w:t>症</w:t>
            </w:r>
          </w:p>
        </w:tc>
        <w:tc>
          <w:tcPr>
            <w:tcW w:w="693" w:type="dxa"/>
            <w:tcBorders>
              <w:top w:val="nil"/>
              <w:bottom w:val="nil"/>
            </w:tcBorders>
          </w:tcPr>
          <w:p>
            <w:pPr>
              <w:pStyle w:val="11"/>
              <w:rPr>
                <w:rFonts w:ascii="Times New Roman"/>
                <w:sz w:val="18"/>
              </w:rPr>
            </w:pPr>
          </w:p>
        </w:tc>
        <w:tc>
          <w:tcPr>
            <w:tcW w:w="3459" w:type="dxa"/>
            <w:vMerge w:val="continue"/>
            <w:tcBorders>
              <w:top w:val="nil"/>
            </w:tcBorders>
          </w:tcPr>
          <w:p>
            <w:pPr>
              <w:rPr>
                <w:sz w:val="2"/>
                <w:szCs w:val="2"/>
              </w:rPr>
            </w:pPr>
          </w:p>
        </w:tc>
        <w:tc>
          <w:tcPr>
            <w:tcW w:w="1282" w:type="dxa"/>
            <w:tcBorders>
              <w:top w:val="nil"/>
              <w:bottom w:val="nil"/>
            </w:tcBorders>
          </w:tcPr>
          <w:p>
            <w:pPr>
              <w:pStyle w:val="11"/>
              <w:rPr>
                <w:rFonts w:ascii="Times New Roman"/>
                <w:sz w:val="18"/>
              </w:rPr>
            </w:pPr>
          </w:p>
        </w:tc>
        <w:tc>
          <w:tcPr>
            <w:tcW w:w="851"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1050" w:type="dxa"/>
            <w:tcBorders>
              <w:top w:val="nil"/>
              <w:bottom w:val="nil"/>
            </w:tcBorders>
          </w:tcPr>
          <w:p>
            <w:pPr>
              <w:pStyle w:val="11"/>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5" w:hRule="atLeast"/>
        </w:trPr>
        <w:tc>
          <w:tcPr>
            <w:tcW w:w="695" w:type="dxa"/>
            <w:tcBorders>
              <w:top w:val="nil"/>
              <w:bottom w:val="nil"/>
            </w:tcBorders>
          </w:tcPr>
          <w:p>
            <w:pPr>
              <w:pStyle w:val="11"/>
              <w:spacing w:line="245" w:lineRule="exact"/>
              <w:ind w:left="13"/>
              <w:jc w:val="center"/>
              <w:rPr>
                <w:rFonts w:hint="eastAsia" w:ascii="黑体" w:eastAsia="黑体"/>
                <w:sz w:val="22"/>
              </w:rPr>
            </w:pPr>
            <w:r>
              <w:rPr>
                <w:rFonts w:hint="eastAsia" w:ascii="黑体" w:eastAsia="黑体"/>
                <w:w w:val="100"/>
                <w:sz w:val="22"/>
              </w:rPr>
              <w:t>、</w:t>
            </w:r>
          </w:p>
        </w:tc>
        <w:tc>
          <w:tcPr>
            <w:tcW w:w="693" w:type="dxa"/>
            <w:tcBorders>
              <w:top w:val="nil"/>
            </w:tcBorders>
          </w:tcPr>
          <w:p>
            <w:pPr>
              <w:pStyle w:val="11"/>
              <w:rPr>
                <w:rFonts w:ascii="Times New Roman"/>
                <w:sz w:val="18"/>
              </w:rPr>
            </w:pPr>
          </w:p>
        </w:tc>
        <w:tc>
          <w:tcPr>
            <w:tcW w:w="3459" w:type="dxa"/>
            <w:vMerge w:val="continue"/>
            <w:tcBorders>
              <w:top w:val="nil"/>
            </w:tcBorders>
          </w:tcPr>
          <w:p>
            <w:pPr>
              <w:rPr>
                <w:sz w:val="2"/>
                <w:szCs w:val="2"/>
              </w:rPr>
            </w:pPr>
          </w:p>
        </w:tc>
        <w:tc>
          <w:tcPr>
            <w:tcW w:w="1282" w:type="dxa"/>
            <w:tcBorders>
              <w:top w:val="nil"/>
            </w:tcBorders>
          </w:tcPr>
          <w:p>
            <w:pPr>
              <w:pStyle w:val="11"/>
              <w:rPr>
                <w:rFonts w:ascii="Times New Roman"/>
                <w:sz w:val="18"/>
              </w:rPr>
            </w:pPr>
          </w:p>
        </w:tc>
        <w:tc>
          <w:tcPr>
            <w:tcW w:w="851"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1050" w:type="dxa"/>
            <w:tcBorders>
              <w:top w:val="nil"/>
            </w:tcBorders>
          </w:tcPr>
          <w:p>
            <w:pPr>
              <w:pStyle w:val="11"/>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3" w:hRule="atLeast"/>
        </w:trPr>
        <w:tc>
          <w:tcPr>
            <w:tcW w:w="695" w:type="dxa"/>
            <w:tcBorders>
              <w:top w:val="nil"/>
              <w:bottom w:val="nil"/>
            </w:tcBorders>
          </w:tcPr>
          <w:p>
            <w:pPr>
              <w:pStyle w:val="11"/>
              <w:spacing w:line="242" w:lineRule="auto"/>
              <w:ind w:left="236" w:right="220"/>
              <w:jc w:val="both"/>
              <w:rPr>
                <w:rFonts w:hint="eastAsia" w:ascii="黑体" w:eastAsia="黑体"/>
                <w:sz w:val="22"/>
              </w:rPr>
            </w:pPr>
            <w:r>
              <w:rPr>
                <w:rFonts w:hint="eastAsia" w:ascii="黑体" w:eastAsia="黑体"/>
                <w:sz w:val="22"/>
              </w:rPr>
              <w:t>慢性呼</w:t>
            </w:r>
          </w:p>
          <w:p>
            <w:pPr>
              <w:pStyle w:val="11"/>
              <w:spacing w:before="1" w:line="238" w:lineRule="exact"/>
              <w:ind w:left="236"/>
              <w:rPr>
                <w:rFonts w:hint="eastAsia" w:ascii="黑体" w:eastAsia="黑体"/>
                <w:sz w:val="22"/>
              </w:rPr>
            </w:pPr>
            <w:r>
              <w:rPr>
                <w:rFonts w:hint="eastAsia" w:ascii="黑体" w:eastAsia="黑体"/>
                <w:w w:val="100"/>
                <w:sz w:val="22"/>
              </w:rPr>
              <w:t>吸</w:t>
            </w:r>
          </w:p>
        </w:tc>
        <w:tc>
          <w:tcPr>
            <w:tcW w:w="693" w:type="dxa"/>
            <w:tcBorders>
              <w:bottom w:val="nil"/>
            </w:tcBorders>
          </w:tcPr>
          <w:p>
            <w:pPr>
              <w:pStyle w:val="11"/>
              <w:rPr>
                <w:rFonts w:ascii="宋体"/>
                <w:b/>
                <w:sz w:val="26"/>
              </w:rPr>
            </w:pPr>
          </w:p>
          <w:p>
            <w:pPr>
              <w:pStyle w:val="11"/>
              <w:spacing w:before="1"/>
              <w:rPr>
                <w:rFonts w:ascii="宋体"/>
                <w:b/>
                <w:sz w:val="34"/>
              </w:rPr>
            </w:pPr>
          </w:p>
          <w:p>
            <w:pPr>
              <w:pStyle w:val="11"/>
              <w:ind w:left="145" w:right="133"/>
              <w:jc w:val="center"/>
              <w:rPr>
                <w:rFonts w:ascii="Times New Roman"/>
                <w:sz w:val="24"/>
              </w:rPr>
            </w:pPr>
            <w:r>
              <w:rPr>
                <w:rFonts w:ascii="Times New Roman"/>
                <w:sz w:val="24"/>
              </w:rPr>
              <w:t>109</w:t>
            </w:r>
          </w:p>
        </w:tc>
        <w:tc>
          <w:tcPr>
            <w:tcW w:w="3459" w:type="dxa"/>
          </w:tcPr>
          <w:p>
            <w:pPr>
              <w:pStyle w:val="11"/>
              <w:spacing w:before="89" w:line="242" w:lineRule="auto"/>
              <w:ind w:left="108" w:right="79"/>
              <w:rPr>
                <w:rFonts w:hint="eastAsia" w:ascii="仿宋" w:eastAsia="仿宋"/>
                <w:b/>
                <w:sz w:val="24"/>
              </w:rPr>
            </w:pPr>
            <w:r>
              <w:rPr>
                <w:rFonts w:hint="eastAsia" w:ascii="仿宋" w:eastAsia="仿宋"/>
                <w:b/>
                <w:w w:val="95"/>
                <w:sz w:val="24"/>
              </w:rPr>
              <w:t>鼓励开展群众性应急救护培</w:t>
            </w:r>
            <w:r>
              <w:rPr>
                <w:rFonts w:hint="eastAsia" w:ascii="仿宋" w:eastAsia="仿宋"/>
                <w:b/>
                <w:sz w:val="24"/>
              </w:rPr>
              <w:t>训，取得培训证书的居民比例</w:t>
            </w:r>
          </w:p>
          <w:p>
            <w:pPr>
              <w:pStyle w:val="11"/>
              <w:spacing w:before="3"/>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Pr>
          <w:p>
            <w:pPr>
              <w:pStyle w:val="11"/>
              <w:spacing w:before="7"/>
              <w:rPr>
                <w:rFonts w:ascii="宋体"/>
                <w:b/>
                <w:sz w:val="32"/>
              </w:rPr>
            </w:pPr>
          </w:p>
          <w:p>
            <w:pPr>
              <w:pStyle w:val="11"/>
              <w:ind w:left="14"/>
              <w:jc w:val="center"/>
              <w:rPr>
                <w:rFonts w:ascii="Times New Roman" w:hAnsi="Times New Roman"/>
                <w:sz w:val="24"/>
              </w:rPr>
            </w:pPr>
            <w:r>
              <w:rPr>
                <w:rFonts w:ascii="Times New Roman" w:hAnsi="Times New Roman"/>
                <w:sz w:val="24"/>
              </w:rPr>
              <w:t>—</w:t>
            </w:r>
          </w:p>
        </w:tc>
        <w:tc>
          <w:tcPr>
            <w:tcW w:w="851" w:type="dxa"/>
          </w:tcPr>
          <w:p>
            <w:pPr>
              <w:pStyle w:val="11"/>
              <w:spacing w:before="7"/>
              <w:rPr>
                <w:rFonts w:ascii="宋体"/>
                <w:b/>
                <w:sz w:val="32"/>
              </w:rPr>
            </w:pPr>
          </w:p>
          <w:p>
            <w:pPr>
              <w:pStyle w:val="11"/>
              <w:ind w:left="66" w:right="54"/>
              <w:jc w:val="center"/>
              <w:rPr>
                <w:rFonts w:ascii="Times New Roman" w:hAnsi="Times New Roman"/>
                <w:sz w:val="24"/>
              </w:rPr>
            </w:pPr>
            <w:r>
              <w:rPr>
                <w:rFonts w:ascii="Times New Roman" w:hAnsi="Times New Roman"/>
                <w:sz w:val="24"/>
              </w:rPr>
              <w:t>≥1</w:t>
            </w:r>
          </w:p>
        </w:tc>
        <w:tc>
          <w:tcPr>
            <w:tcW w:w="851" w:type="dxa"/>
          </w:tcPr>
          <w:p>
            <w:pPr>
              <w:pStyle w:val="11"/>
              <w:spacing w:before="7"/>
              <w:rPr>
                <w:rFonts w:ascii="宋体"/>
                <w:b/>
                <w:sz w:val="32"/>
              </w:rPr>
            </w:pPr>
          </w:p>
          <w:p>
            <w:pPr>
              <w:pStyle w:val="11"/>
              <w:ind w:left="66" w:right="55"/>
              <w:jc w:val="center"/>
              <w:rPr>
                <w:rFonts w:ascii="Times New Roman" w:hAnsi="Times New Roman"/>
                <w:sz w:val="24"/>
              </w:rPr>
            </w:pPr>
            <w:r>
              <w:rPr>
                <w:rFonts w:ascii="Times New Roman" w:hAnsi="Times New Roman"/>
                <w:sz w:val="24"/>
              </w:rPr>
              <w:t>≥3</w:t>
            </w:r>
          </w:p>
        </w:tc>
        <w:tc>
          <w:tcPr>
            <w:tcW w:w="1050" w:type="dxa"/>
          </w:tcPr>
          <w:p>
            <w:pPr>
              <w:pStyle w:val="11"/>
              <w:spacing w:before="3"/>
              <w:rPr>
                <w:rFonts w:ascii="宋体"/>
                <w:b/>
                <w:sz w:val="31"/>
              </w:rPr>
            </w:pPr>
          </w:p>
          <w:p>
            <w:pPr>
              <w:pStyle w:val="11"/>
              <w:spacing w:before="1"/>
              <w:ind w:left="143" w:right="129"/>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9" w:hRule="atLeast"/>
        </w:trPr>
        <w:tc>
          <w:tcPr>
            <w:tcW w:w="695" w:type="dxa"/>
            <w:tcBorders>
              <w:top w:val="nil"/>
              <w:bottom w:val="nil"/>
            </w:tcBorders>
          </w:tcPr>
          <w:p>
            <w:pPr>
              <w:pStyle w:val="11"/>
              <w:spacing w:before="13"/>
              <w:ind w:left="13"/>
              <w:jc w:val="center"/>
              <w:rPr>
                <w:rFonts w:hint="eastAsia" w:ascii="黑体" w:eastAsia="黑体"/>
                <w:sz w:val="22"/>
              </w:rPr>
            </w:pPr>
            <w:r>
              <w:rPr>
                <w:rFonts w:hint="eastAsia" w:ascii="黑体" w:eastAsia="黑体"/>
                <w:w w:val="100"/>
                <w:sz w:val="22"/>
              </w:rPr>
              <w:t>系</w:t>
            </w:r>
          </w:p>
        </w:tc>
        <w:tc>
          <w:tcPr>
            <w:tcW w:w="693" w:type="dxa"/>
            <w:tcBorders>
              <w:top w:val="nil"/>
              <w:bottom w:val="nil"/>
            </w:tcBorders>
          </w:tcPr>
          <w:p>
            <w:pPr>
              <w:pStyle w:val="11"/>
              <w:rPr>
                <w:rFonts w:ascii="Times New Roman"/>
                <w:sz w:val="22"/>
              </w:rPr>
            </w:pPr>
          </w:p>
        </w:tc>
        <w:tc>
          <w:tcPr>
            <w:tcW w:w="7493" w:type="dxa"/>
            <w:gridSpan w:val="5"/>
            <w:tcBorders>
              <w:bottom w:val="nil"/>
            </w:tcBorders>
          </w:tcPr>
          <w:p>
            <w:pPr>
              <w:pStyle w:val="11"/>
              <w:spacing w:before="71" w:line="229" w:lineRule="exact"/>
              <w:ind w:left="108"/>
              <w:rPr>
                <w:sz w:val="21"/>
              </w:rPr>
            </w:pPr>
            <w:r>
              <w:rPr>
                <w:sz w:val="21"/>
              </w:rPr>
              <w:t>说明：依托红十字会等社会组织和急救中心等医疗机构开展心肺复苏、止血包扎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695" w:type="dxa"/>
            <w:tcBorders>
              <w:top w:val="nil"/>
              <w:bottom w:val="nil"/>
            </w:tcBorders>
          </w:tcPr>
          <w:p>
            <w:pPr>
              <w:pStyle w:val="11"/>
              <w:spacing w:line="260" w:lineRule="exact"/>
              <w:ind w:left="13"/>
              <w:jc w:val="center"/>
              <w:rPr>
                <w:rFonts w:hint="eastAsia" w:ascii="黑体" w:eastAsia="黑体"/>
                <w:sz w:val="22"/>
              </w:rPr>
            </w:pPr>
            <w:r>
              <w:rPr>
                <w:rFonts w:hint="eastAsia" w:ascii="黑体" w:eastAsia="黑体"/>
                <w:w w:val="100"/>
                <w:sz w:val="22"/>
              </w:rPr>
              <w:t>统</w:t>
            </w:r>
          </w:p>
        </w:tc>
        <w:tc>
          <w:tcPr>
            <w:tcW w:w="693" w:type="dxa"/>
            <w:tcBorders>
              <w:top w:val="nil"/>
              <w:bottom w:val="nil"/>
            </w:tcBorders>
          </w:tcPr>
          <w:p>
            <w:pPr>
              <w:pStyle w:val="11"/>
              <w:rPr>
                <w:rFonts w:ascii="Times New Roman"/>
                <w:sz w:val="20"/>
              </w:rPr>
            </w:pPr>
          </w:p>
        </w:tc>
        <w:tc>
          <w:tcPr>
            <w:tcW w:w="7493" w:type="dxa"/>
            <w:gridSpan w:val="5"/>
            <w:tcBorders>
              <w:top w:val="nil"/>
              <w:bottom w:val="nil"/>
            </w:tcBorders>
          </w:tcPr>
          <w:p>
            <w:pPr>
              <w:pStyle w:val="11"/>
              <w:spacing w:before="25" w:line="235" w:lineRule="exact"/>
              <w:ind w:left="108"/>
              <w:rPr>
                <w:sz w:val="21"/>
              </w:rPr>
            </w:pPr>
            <w:r>
              <w:rPr>
                <w:sz w:val="21"/>
              </w:rPr>
              <w:t>等应急救护培训，合格者颁发相应资格证书。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 w:hRule="atLeast"/>
        </w:trPr>
        <w:tc>
          <w:tcPr>
            <w:tcW w:w="695" w:type="dxa"/>
            <w:vMerge w:val="restart"/>
            <w:tcBorders>
              <w:top w:val="nil"/>
              <w:bottom w:val="nil"/>
            </w:tcBorders>
          </w:tcPr>
          <w:p>
            <w:pPr>
              <w:pStyle w:val="11"/>
              <w:spacing w:line="218" w:lineRule="exact"/>
              <w:ind w:left="236"/>
              <w:rPr>
                <w:rFonts w:hint="eastAsia" w:ascii="黑体" w:eastAsia="黑体"/>
                <w:sz w:val="22"/>
              </w:rPr>
            </w:pPr>
            <w:r>
              <w:rPr>
                <w:rFonts w:hint="eastAsia" w:ascii="黑体" w:eastAsia="黑体"/>
                <w:w w:val="100"/>
                <w:sz w:val="22"/>
              </w:rPr>
              <w:t>疾</w:t>
            </w:r>
          </w:p>
        </w:tc>
        <w:tc>
          <w:tcPr>
            <w:tcW w:w="693" w:type="dxa"/>
            <w:tcBorders>
              <w:top w:val="nil"/>
            </w:tcBorders>
          </w:tcPr>
          <w:p>
            <w:pPr>
              <w:pStyle w:val="11"/>
              <w:rPr>
                <w:rFonts w:ascii="Times New Roman"/>
                <w:sz w:val="4"/>
              </w:rPr>
            </w:pPr>
          </w:p>
        </w:tc>
        <w:tc>
          <w:tcPr>
            <w:tcW w:w="7493" w:type="dxa"/>
            <w:gridSpan w:val="5"/>
            <w:tcBorders>
              <w:top w:val="nil"/>
            </w:tcBorders>
          </w:tcPr>
          <w:p>
            <w:pPr>
              <w:pStyle w:val="11"/>
              <w:rPr>
                <w:rFonts w:ascii="Times New Roman"/>
                <w:sz w:val="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 w:hRule="atLeast"/>
        </w:trPr>
        <w:tc>
          <w:tcPr>
            <w:tcW w:w="695" w:type="dxa"/>
            <w:vMerge w:val="continue"/>
            <w:tcBorders>
              <w:top w:val="nil"/>
              <w:bottom w:val="nil"/>
            </w:tcBorders>
          </w:tcPr>
          <w:p>
            <w:pPr>
              <w:rPr>
                <w:sz w:val="2"/>
                <w:szCs w:val="2"/>
              </w:rPr>
            </w:pPr>
          </w:p>
        </w:tc>
        <w:tc>
          <w:tcPr>
            <w:tcW w:w="693" w:type="dxa"/>
            <w:tcBorders>
              <w:bottom w:val="nil"/>
            </w:tcBorders>
          </w:tcPr>
          <w:p>
            <w:pPr>
              <w:pStyle w:val="11"/>
              <w:rPr>
                <w:rFonts w:ascii="Times New Roman"/>
                <w:sz w:val="8"/>
              </w:rPr>
            </w:pPr>
          </w:p>
        </w:tc>
        <w:tc>
          <w:tcPr>
            <w:tcW w:w="3459" w:type="dxa"/>
            <w:tcBorders>
              <w:bottom w:val="nil"/>
            </w:tcBorders>
          </w:tcPr>
          <w:p>
            <w:pPr>
              <w:pStyle w:val="11"/>
              <w:rPr>
                <w:rFonts w:ascii="Times New Roman"/>
                <w:sz w:val="8"/>
              </w:rPr>
            </w:pPr>
          </w:p>
        </w:tc>
        <w:tc>
          <w:tcPr>
            <w:tcW w:w="1282" w:type="dxa"/>
            <w:tcBorders>
              <w:bottom w:val="nil"/>
            </w:tcBorders>
          </w:tcPr>
          <w:p>
            <w:pPr>
              <w:pStyle w:val="11"/>
              <w:rPr>
                <w:rFonts w:ascii="Times New Roman"/>
                <w:sz w:val="8"/>
              </w:rPr>
            </w:pPr>
          </w:p>
        </w:tc>
        <w:tc>
          <w:tcPr>
            <w:tcW w:w="851" w:type="dxa"/>
            <w:tcBorders>
              <w:bottom w:val="nil"/>
            </w:tcBorders>
          </w:tcPr>
          <w:p>
            <w:pPr>
              <w:pStyle w:val="11"/>
              <w:rPr>
                <w:rFonts w:ascii="Times New Roman"/>
                <w:sz w:val="8"/>
              </w:rPr>
            </w:pPr>
          </w:p>
        </w:tc>
        <w:tc>
          <w:tcPr>
            <w:tcW w:w="851" w:type="dxa"/>
            <w:tcBorders>
              <w:bottom w:val="nil"/>
            </w:tcBorders>
          </w:tcPr>
          <w:p>
            <w:pPr>
              <w:pStyle w:val="11"/>
              <w:rPr>
                <w:rFonts w:ascii="Times New Roman"/>
                <w:sz w:val="8"/>
              </w:rPr>
            </w:pPr>
          </w:p>
        </w:tc>
        <w:tc>
          <w:tcPr>
            <w:tcW w:w="1050" w:type="dxa"/>
            <w:tcBorders>
              <w:bottom w:val="nil"/>
            </w:tcBorders>
          </w:tcPr>
          <w:p>
            <w:pPr>
              <w:pStyle w:val="11"/>
              <w:rPr>
                <w:rFonts w:ascii="Times New Roman"/>
                <w:sz w:val="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4" w:hRule="atLeast"/>
        </w:trPr>
        <w:tc>
          <w:tcPr>
            <w:tcW w:w="695" w:type="dxa"/>
            <w:tcBorders>
              <w:top w:val="nil"/>
              <w:bottom w:val="nil"/>
            </w:tcBorders>
          </w:tcPr>
          <w:p>
            <w:pPr>
              <w:pStyle w:val="11"/>
              <w:spacing w:before="32"/>
              <w:ind w:left="236"/>
              <w:rPr>
                <w:rFonts w:hint="eastAsia" w:ascii="黑体" w:eastAsia="黑体"/>
                <w:sz w:val="22"/>
              </w:rPr>
            </w:pPr>
            <w:r>
              <w:rPr>
                <w:rFonts w:hint="eastAsia" w:ascii="黑体" w:eastAsia="黑体"/>
                <w:w w:val="100"/>
                <w:sz w:val="22"/>
              </w:rPr>
              <w:t>病</w:t>
            </w:r>
          </w:p>
          <w:p>
            <w:pPr>
              <w:pStyle w:val="11"/>
              <w:spacing w:before="1" w:line="269" w:lineRule="exact"/>
              <w:ind w:left="236"/>
              <w:rPr>
                <w:rFonts w:hint="eastAsia" w:ascii="黑体" w:eastAsia="黑体"/>
                <w:sz w:val="22"/>
              </w:rPr>
            </w:pPr>
            <w:r>
              <w:rPr>
                <w:rFonts w:hint="eastAsia" w:ascii="黑体" w:eastAsia="黑体"/>
                <w:w w:val="100"/>
                <w:sz w:val="22"/>
              </w:rPr>
              <w:t>、</w:t>
            </w:r>
          </w:p>
        </w:tc>
        <w:tc>
          <w:tcPr>
            <w:tcW w:w="693" w:type="dxa"/>
            <w:tcBorders>
              <w:top w:val="nil"/>
              <w:bottom w:val="nil"/>
            </w:tcBorders>
          </w:tcPr>
          <w:p>
            <w:pPr>
              <w:pStyle w:val="11"/>
              <w:rPr>
                <w:rFonts w:ascii="Times New Roman"/>
                <w:sz w:val="22"/>
              </w:rPr>
            </w:pPr>
          </w:p>
        </w:tc>
        <w:tc>
          <w:tcPr>
            <w:tcW w:w="3459" w:type="dxa"/>
            <w:tcBorders>
              <w:top w:val="nil"/>
              <w:bottom w:val="nil"/>
            </w:tcBorders>
          </w:tcPr>
          <w:p>
            <w:pPr>
              <w:pStyle w:val="11"/>
              <w:spacing w:line="284" w:lineRule="exact"/>
              <w:ind w:left="108"/>
              <w:rPr>
                <w:rFonts w:hint="eastAsia" w:ascii="仿宋" w:eastAsia="仿宋"/>
                <w:b/>
                <w:sz w:val="24"/>
              </w:rPr>
            </w:pPr>
            <w:r>
              <w:rPr>
                <w:rFonts w:ascii="Times New Roman" w:eastAsia="Times New Roman"/>
                <w:b/>
                <w:sz w:val="24"/>
              </w:rPr>
              <w:t xml:space="preserve">40 </w:t>
            </w:r>
            <w:r>
              <w:rPr>
                <w:rFonts w:hint="eastAsia" w:ascii="仿宋" w:eastAsia="仿宋"/>
                <w:b/>
                <w:sz w:val="24"/>
              </w:rPr>
              <w:t>岁及以上居民慢阻肺知晓率</w:t>
            </w:r>
          </w:p>
          <w:p>
            <w:pPr>
              <w:pStyle w:val="11"/>
              <w:spacing w:before="4" w:line="296" w:lineRule="exact"/>
              <w:ind w:left="108"/>
              <w:rPr>
                <w:rFonts w:hint="eastAsia" w:ascii="仿宋" w:eastAsia="仿宋"/>
                <w:b/>
                <w:sz w:val="24"/>
              </w:rPr>
            </w:pPr>
            <w:r>
              <w:rPr>
                <w:rFonts w:hint="eastAsia" w:ascii="仿宋" w:eastAsia="仿宋"/>
                <w:b/>
                <w:sz w:val="24"/>
              </w:rPr>
              <w:t>（</w:t>
            </w:r>
            <w:r>
              <w:rPr>
                <w:rFonts w:ascii="Times New Roman" w:eastAsia="Times New Roman"/>
                <w:b/>
                <w:sz w:val="24"/>
              </w:rPr>
              <w:t>%</w:t>
            </w:r>
            <w:r>
              <w:rPr>
                <w:rFonts w:hint="eastAsia" w:ascii="仿宋" w:eastAsia="仿宋"/>
                <w:b/>
                <w:sz w:val="24"/>
              </w:rPr>
              <w:t>）</w:t>
            </w:r>
          </w:p>
        </w:tc>
        <w:tc>
          <w:tcPr>
            <w:tcW w:w="1282" w:type="dxa"/>
            <w:tcBorders>
              <w:top w:val="nil"/>
              <w:bottom w:val="nil"/>
            </w:tcBorders>
          </w:tcPr>
          <w:p>
            <w:pPr>
              <w:pStyle w:val="11"/>
              <w:spacing w:line="300" w:lineRule="exact"/>
              <w:ind w:left="88" w:right="117"/>
              <w:jc w:val="center"/>
              <w:rPr>
                <w:rFonts w:hint="eastAsia" w:ascii="仿宋" w:eastAsia="仿宋"/>
                <w:sz w:val="24"/>
              </w:rPr>
            </w:pPr>
            <w:r>
              <w:rPr>
                <w:rFonts w:ascii="Times New Roman" w:eastAsia="Times New Roman"/>
                <w:sz w:val="24"/>
              </w:rPr>
              <w:t xml:space="preserve">2012 </w:t>
            </w:r>
            <w:r>
              <w:rPr>
                <w:rFonts w:hint="eastAsia" w:ascii="仿宋" w:eastAsia="仿宋"/>
                <w:sz w:val="24"/>
              </w:rPr>
              <w:t>年为</w:t>
            </w:r>
          </w:p>
          <w:p>
            <w:pPr>
              <w:pStyle w:val="11"/>
              <w:spacing w:before="1"/>
              <w:ind w:left="89" w:right="78"/>
              <w:jc w:val="center"/>
              <w:rPr>
                <w:rFonts w:ascii="Times New Roman"/>
                <w:sz w:val="24"/>
              </w:rPr>
            </w:pPr>
            <w:r>
              <w:rPr>
                <w:rFonts w:ascii="Times New Roman"/>
                <w:sz w:val="24"/>
              </w:rPr>
              <w:t>2.6</w:t>
            </w:r>
          </w:p>
        </w:tc>
        <w:tc>
          <w:tcPr>
            <w:tcW w:w="851" w:type="dxa"/>
            <w:tcBorders>
              <w:top w:val="nil"/>
              <w:bottom w:val="nil"/>
            </w:tcBorders>
          </w:tcPr>
          <w:p>
            <w:pPr>
              <w:pStyle w:val="11"/>
              <w:spacing w:before="148"/>
              <w:ind w:left="66" w:right="54"/>
              <w:jc w:val="center"/>
              <w:rPr>
                <w:rFonts w:ascii="Times New Roman" w:hAnsi="Times New Roman"/>
                <w:sz w:val="24"/>
              </w:rPr>
            </w:pPr>
            <w:r>
              <w:rPr>
                <w:rFonts w:ascii="Times New Roman" w:hAnsi="Times New Roman"/>
                <w:sz w:val="24"/>
              </w:rPr>
              <w:t>≥15</w:t>
            </w:r>
          </w:p>
        </w:tc>
        <w:tc>
          <w:tcPr>
            <w:tcW w:w="851" w:type="dxa"/>
            <w:tcBorders>
              <w:top w:val="nil"/>
              <w:bottom w:val="nil"/>
            </w:tcBorders>
          </w:tcPr>
          <w:p>
            <w:pPr>
              <w:pStyle w:val="11"/>
              <w:spacing w:before="148"/>
              <w:ind w:left="66" w:right="55"/>
              <w:jc w:val="center"/>
              <w:rPr>
                <w:rFonts w:ascii="Times New Roman" w:hAnsi="Times New Roman"/>
                <w:sz w:val="24"/>
              </w:rPr>
            </w:pPr>
            <w:r>
              <w:rPr>
                <w:rFonts w:ascii="Times New Roman" w:hAnsi="Times New Roman"/>
                <w:sz w:val="24"/>
              </w:rPr>
              <w:t>≥30</w:t>
            </w:r>
          </w:p>
        </w:tc>
        <w:tc>
          <w:tcPr>
            <w:tcW w:w="1050" w:type="dxa"/>
            <w:tcBorders>
              <w:top w:val="nil"/>
              <w:bottom w:val="nil"/>
            </w:tcBorders>
          </w:tcPr>
          <w:p>
            <w:pPr>
              <w:pStyle w:val="11"/>
              <w:spacing w:before="132"/>
              <w:ind w:left="143" w:right="129"/>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 w:hRule="atLeast"/>
        </w:trPr>
        <w:tc>
          <w:tcPr>
            <w:tcW w:w="695" w:type="dxa"/>
            <w:vMerge w:val="restart"/>
            <w:tcBorders>
              <w:top w:val="nil"/>
              <w:bottom w:val="nil"/>
            </w:tcBorders>
          </w:tcPr>
          <w:p>
            <w:pPr>
              <w:pStyle w:val="11"/>
              <w:spacing w:line="260" w:lineRule="exact"/>
              <w:ind w:left="236"/>
              <w:rPr>
                <w:rFonts w:hint="eastAsia" w:ascii="黑体" w:eastAsia="黑体"/>
                <w:sz w:val="22"/>
              </w:rPr>
            </w:pPr>
            <w:r>
              <w:rPr>
                <w:rFonts w:hint="eastAsia" w:ascii="黑体" w:eastAsia="黑体"/>
                <w:w w:val="100"/>
                <w:sz w:val="22"/>
              </w:rPr>
              <w:t>糖</w:t>
            </w:r>
          </w:p>
        </w:tc>
        <w:tc>
          <w:tcPr>
            <w:tcW w:w="693" w:type="dxa"/>
            <w:vMerge w:val="restart"/>
            <w:tcBorders>
              <w:top w:val="nil"/>
              <w:bottom w:val="nil"/>
            </w:tcBorders>
          </w:tcPr>
          <w:p>
            <w:pPr>
              <w:pStyle w:val="11"/>
              <w:rPr>
                <w:rFonts w:ascii="Times New Roman"/>
                <w:sz w:val="20"/>
              </w:rPr>
            </w:pPr>
          </w:p>
        </w:tc>
        <w:tc>
          <w:tcPr>
            <w:tcW w:w="3459" w:type="dxa"/>
            <w:tcBorders>
              <w:top w:val="nil"/>
            </w:tcBorders>
          </w:tcPr>
          <w:p>
            <w:pPr>
              <w:pStyle w:val="11"/>
              <w:rPr>
                <w:rFonts w:ascii="Times New Roman"/>
                <w:sz w:val="4"/>
              </w:rPr>
            </w:pPr>
          </w:p>
        </w:tc>
        <w:tc>
          <w:tcPr>
            <w:tcW w:w="1282" w:type="dxa"/>
            <w:tcBorders>
              <w:top w:val="nil"/>
            </w:tcBorders>
          </w:tcPr>
          <w:p>
            <w:pPr>
              <w:pStyle w:val="11"/>
              <w:rPr>
                <w:rFonts w:ascii="Times New Roman"/>
                <w:sz w:val="4"/>
              </w:rPr>
            </w:pPr>
          </w:p>
        </w:tc>
        <w:tc>
          <w:tcPr>
            <w:tcW w:w="851" w:type="dxa"/>
            <w:tcBorders>
              <w:top w:val="nil"/>
            </w:tcBorders>
          </w:tcPr>
          <w:p>
            <w:pPr>
              <w:pStyle w:val="11"/>
              <w:rPr>
                <w:rFonts w:ascii="Times New Roman"/>
                <w:sz w:val="4"/>
              </w:rPr>
            </w:pPr>
          </w:p>
        </w:tc>
        <w:tc>
          <w:tcPr>
            <w:tcW w:w="851" w:type="dxa"/>
            <w:tcBorders>
              <w:top w:val="nil"/>
            </w:tcBorders>
          </w:tcPr>
          <w:p>
            <w:pPr>
              <w:pStyle w:val="11"/>
              <w:rPr>
                <w:rFonts w:ascii="Times New Roman"/>
                <w:sz w:val="4"/>
              </w:rPr>
            </w:pPr>
          </w:p>
        </w:tc>
        <w:tc>
          <w:tcPr>
            <w:tcW w:w="1050" w:type="dxa"/>
            <w:tcBorders>
              <w:top w:val="nil"/>
            </w:tcBorders>
          </w:tcPr>
          <w:p>
            <w:pPr>
              <w:pStyle w:val="11"/>
              <w:rPr>
                <w:rFonts w:ascii="Times New Roman"/>
                <w:sz w:val="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2" w:hRule="atLeast"/>
        </w:trPr>
        <w:tc>
          <w:tcPr>
            <w:tcW w:w="695" w:type="dxa"/>
            <w:vMerge w:val="continue"/>
            <w:tcBorders>
              <w:top w:val="nil"/>
              <w:bottom w:val="nil"/>
            </w:tcBorders>
          </w:tcPr>
          <w:p>
            <w:pPr>
              <w:rPr>
                <w:sz w:val="2"/>
                <w:szCs w:val="2"/>
              </w:rPr>
            </w:pPr>
          </w:p>
        </w:tc>
        <w:tc>
          <w:tcPr>
            <w:tcW w:w="693" w:type="dxa"/>
            <w:vMerge w:val="continue"/>
            <w:tcBorders>
              <w:top w:val="nil"/>
              <w:bottom w:val="nil"/>
            </w:tcBorders>
          </w:tcPr>
          <w:p>
            <w:pPr>
              <w:rPr>
                <w:sz w:val="2"/>
                <w:szCs w:val="2"/>
              </w:rPr>
            </w:pPr>
          </w:p>
        </w:tc>
        <w:tc>
          <w:tcPr>
            <w:tcW w:w="7493" w:type="dxa"/>
            <w:gridSpan w:val="5"/>
            <w:tcBorders>
              <w:bottom w:val="nil"/>
            </w:tcBorders>
          </w:tcPr>
          <w:p>
            <w:pPr>
              <w:pStyle w:val="11"/>
              <w:rPr>
                <w:rFonts w:ascii="Times New Roman"/>
                <w:sz w:val="1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42" w:hRule="atLeast"/>
        </w:trPr>
        <w:tc>
          <w:tcPr>
            <w:tcW w:w="695" w:type="dxa"/>
            <w:tcBorders>
              <w:top w:val="nil"/>
              <w:bottom w:val="nil"/>
            </w:tcBorders>
          </w:tcPr>
          <w:p>
            <w:pPr>
              <w:pStyle w:val="11"/>
              <w:spacing w:before="2" w:line="242" w:lineRule="auto"/>
              <w:ind w:left="236" w:right="220"/>
              <w:jc w:val="both"/>
              <w:rPr>
                <w:rFonts w:hint="eastAsia" w:ascii="黑体" w:eastAsia="黑体"/>
                <w:sz w:val="22"/>
              </w:rPr>
            </w:pPr>
            <w:r>
              <w:rPr>
                <w:rFonts w:hint="eastAsia" w:ascii="黑体" w:eastAsia="黑体"/>
                <w:sz w:val="22"/>
              </w:rPr>
              <w:t>尿病防</w:t>
            </w:r>
          </w:p>
          <w:p>
            <w:pPr>
              <w:pStyle w:val="11"/>
              <w:spacing w:before="3" w:line="263" w:lineRule="exact"/>
              <w:ind w:left="236"/>
              <w:rPr>
                <w:rFonts w:hint="eastAsia" w:ascii="黑体" w:eastAsia="黑体"/>
                <w:sz w:val="22"/>
              </w:rPr>
            </w:pPr>
            <w:r>
              <w:rPr>
                <w:rFonts w:hint="eastAsia" w:ascii="黑体" w:eastAsia="黑体"/>
                <w:w w:val="100"/>
                <w:sz w:val="22"/>
              </w:rPr>
              <w:t>治</w:t>
            </w:r>
          </w:p>
        </w:tc>
        <w:tc>
          <w:tcPr>
            <w:tcW w:w="693" w:type="dxa"/>
            <w:tcBorders>
              <w:top w:val="nil"/>
              <w:bottom w:val="nil"/>
            </w:tcBorders>
          </w:tcPr>
          <w:p>
            <w:pPr>
              <w:pStyle w:val="11"/>
              <w:spacing w:before="207"/>
              <w:ind w:left="145" w:right="133"/>
              <w:jc w:val="center"/>
              <w:rPr>
                <w:rFonts w:ascii="Times New Roman"/>
                <w:sz w:val="24"/>
              </w:rPr>
            </w:pPr>
            <w:r>
              <w:rPr>
                <w:rFonts w:ascii="Times New Roman"/>
                <w:sz w:val="24"/>
              </w:rPr>
              <w:t>110</w:t>
            </w:r>
          </w:p>
        </w:tc>
        <w:tc>
          <w:tcPr>
            <w:tcW w:w="7493" w:type="dxa"/>
            <w:gridSpan w:val="5"/>
            <w:tcBorders>
              <w:top w:val="nil"/>
              <w:bottom w:val="nil"/>
            </w:tcBorders>
          </w:tcPr>
          <w:p>
            <w:pPr>
              <w:pStyle w:val="11"/>
              <w:rPr>
                <w:rFonts w:ascii="宋体"/>
                <w:b/>
                <w:sz w:val="20"/>
              </w:rPr>
            </w:pPr>
          </w:p>
          <w:p>
            <w:pPr>
              <w:pStyle w:val="11"/>
              <w:spacing w:before="4"/>
              <w:rPr>
                <w:rFonts w:ascii="宋体"/>
                <w:b/>
                <w:sz w:val="19"/>
              </w:rPr>
            </w:pPr>
          </w:p>
          <w:p>
            <w:pPr>
              <w:pStyle w:val="11"/>
              <w:spacing w:line="242" w:lineRule="auto"/>
              <w:ind w:left="108" w:right="59"/>
              <w:rPr>
                <w:sz w:val="21"/>
              </w:rPr>
            </w:pPr>
            <w:r>
              <w:rPr>
                <w:sz w:val="21"/>
              </w:rPr>
              <w:t xml:space="preserve">说明：该指标是指调查确定的 </w:t>
            </w:r>
            <w:r>
              <w:rPr>
                <w:rFonts w:ascii="Times New Roman" w:eastAsia="Times New Roman"/>
                <w:sz w:val="21"/>
              </w:rPr>
              <w:t xml:space="preserve">40 </w:t>
            </w:r>
            <w:r>
              <w:rPr>
                <w:sz w:val="21"/>
              </w:rPr>
              <w:t>岁及以上慢阻肺人群中，在测量肺功能之前即知道自己患有慢阻肺者（经过有资质的医疗机构或医生诊断）所占比例。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5" w:hRule="atLeast"/>
        </w:trPr>
        <w:tc>
          <w:tcPr>
            <w:tcW w:w="695" w:type="dxa"/>
            <w:tcBorders>
              <w:top w:val="nil"/>
              <w:bottom w:val="nil"/>
            </w:tcBorders>
          </w:tcPr>
          <w:p>
            <w:pPr>
              <w:pStyle w:val="11"/>
              <w:spacing w:before="2" w:line="263" w:lineRule="exact"/>
              <w:ind w:left="13"/>
              <w:jc w:val="center"/>
              <w:rPr>
                <w:rFonts w:hint="eastAsia" w:ascii="黑体" w:eastAsia="黑体"/>
                <w:sz w:val="22"/>
              </w:rPr>
            </w:pPr>
            <w:r>
              <w:rPr>
                <w:rFonts w:hint="eastAsia" w:ascii="黑体" w:eastAsia="黑体"/>
                <w:w w:val="100"/>
                <w:sz w:val="22"/>
              </w:rPr>
              <w:t>行</w:t>
            </w:r>
          </w:p>
        </w:tc>
        <w:tc>
          <w:tcPr>
            <w:tcW w:w="693" w:type="dxa"/>
            <w:tcBorders>
              <w:top w:val="nil"/>
              <w:bottom w:val="nil"/>
            </w:tcBorders>
          </w:tcPr>
          <w:p>
            <w:pPr>
              <w:pStyle w:val="11"/>
              <w:rPr>
                <w:rFonts w:ascii="Times New Roman"/>
                <w:sz w:val="20"/>
              </w:rPr>
            </w:pPr>
          </w:p>
        </w:tc>
        <w:tc>
          <w:tcPr>
            <w:tcW w:w="7493" w:type="dxa"/>
            <w:gridSpan w:val="5"/>
            <w:tcBorders>
              <w:top w:val="nil"/>
              <w:bottom w:val="nil"/>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4" w:hRule="atLeast"/>
        </w:trPr>
        <w:tc>
          <w:tcPr>
            <w:tcW w:w="695" w:type="dxa"/>
            <w:tcBorders>
              <w:top w:val="nil"/>
            </w:tcBorders>
          </w:tcPr>
          <w:p>
            <w:pPr>
              <w:pStyle w:val="11"/>
              <w:spacing w:before="2" w:line="263" w:lineRule="exact"/>
              <w:ind w:left="13"/>
              <w:jc w:val="center"/>
              <w:rPr>
                <w:rFonts w:hint="eastAsia" w:ascii="黑体" w:eastAsia="黑体"/>
                <w:sz w:val="22"/>
              </w:rPr>
            </w:pPr>
            <w:r>
              <w:rPr>
                <w:rFonts w:hint="eastAsia" w:ascii="黑体" w:eastAsia="黑体"/>
                <w:w w:val="100"/>
                <w:sz w:val="22"/>
              </w:rPr>
              <w:t>动</w:t>
            </w:r>
          </w:p>
        </w:tc>
        <w:tc>
          <w:tcPr>
            <w:tcW w:w="693" w:type="dxa"/>
            <w:tcBorders>
              <w:top w:val="nil"/>
            </w:tcBorders>
          </w:tcPr>
          <w:p>
            <w:pPr>
              <w:pStyle w:val="11"/>
              <w:rPr>
                <w:rFonts w:ascii="Times New Roman"/>
                <w:sz w:val="20"/>
              </w:rPr>
            </w:pPr>
          </w:p>
        </w:tc>
        <w:tc>
          <w:tcPr>
            <w:tcW w:w="7493" w:type="dxa"/>
            <w:gridSpan w:val="5"/>
            <w:tcBorders>
              <w:top w:val="nil"/>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restart"/>
            <w:tcBorders>
              <w:bottom w:val="nil"/>
            </w:tcBorders>
          </w:tcPr>
          <w:p>
            <w:pPr>
              <w:pStyle w:val="11"/>
              <w:spacing w:before="1"/>
              <w:rPr>
                <w:rFonts w:ascii="宋体"/>
                <w:b/>
                <w:sz w:val="24"/>
              </w:rPr>
            </w:pPr>
          </w:p>
          <w:p>
            <w:pPr>
              <w:pStyle w:val="11"/>
              <w:spacing w:line="242" w:lineRule="auto"/>
              <w:ind w:left="226" w:right="45" w:hanging="89"/>
              <w:rPr>
                <w:rFonts w:hint="eastAsia" w:ascii="黑体" w:eastAsia="黑体"/>
                <w:sz w:val="24"/>
              </w:rPr>
            </w:pPr>
            <w:r>
              <w:rPr>
                <w:rFonts w:hint="eastAsia" w:ascii="黑体" w:eastAsia="黑体"/>
                <w:w w:val="50"/>
                <w:sz w:val="24"/>
              </w:rPr>
              <w:t xml:space="preserve">（十五） </w:t>
            </w:r>
            <w:r>
              <w:rPr>
                <w:rFonts w:hint="eastAsia" w:ascii="黑体" w:eastAsia="黑体"/>
                <w:w w:val="90"/>
                <w:sz w:val="24"/>
              </w:rPr>
              <w:t>传染</w:t>
            </w:r>
          </w:p>
          <w:p>
            <w:pPr>
              <w:pStyle w:val="11"/>
              <w:spacing w:before="2" w:line="295" w:lineRule="exact"/>
              <w:ind w:left="226"/>
              <w:rPr>
                <w:rFonts w:hint="eastAsia" w:ascii="黑体" w:eastAsia="黑体"/>
                <w:sz w:val="24"/>
              </w:rPr>
            </w:pPr>
            <w:r>
              <w:rPr>
                <w:rFonts w:hint="eastAsia" w:ascii="黑体" w:eastAsia="黑体"/>
                <w:sz w:val="24"/>
              </w:rPr>
              <w:t>病</w:t>
            </w:r>
          </w:p>
        </w:tc>
        <w:tc>
          <w:tcPr>
            <w:tcW w:w="8186" w:type="dxa"/>
            <w:gridSpan w:val="6"/>
          </w:tcPr>
          <w:p>
            <w:pPr>
              <w:pStyle w:val="11"/>
              <w:spacing w:before="44"/>
              <w:ind w:left="107"/>
              <w:rPr>
                <w:rFonts w:hint="eastAsia" w:ascii="黑体" w:eastAsia="黑体"/>
                <w:sz w:val="24"/>
              </w:rPr>
            </w:pPr>
            <w:r>
              <w:rPr>
                <w:rFonts w:hint="eastAsia" w:ascii="黑体" w:eastAsia="黑体"/>
                <w:sz w:val="24"/>
              </w:rPr>
              <w:t>结果性指标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695" w:type="dxa"/>
            <w:vMerge w:val="continue"/>
            <w:tcBorders>
              <w:top w:val="nil"/>
              <w:bottom w:val="nil"/>
            </w:tcBorders>
          </w:tcPr>
          <w:p>
            <w:pPr>
              <w:rPr>
                <w:sz w:val="2"/>
                <w:szCs w:val="2"/>
              </w:rPr>
            </w:pPr>
          </w:p>
        </w:tc>
        <w:tc>
          <w:tcPr>
            <w:tcW w:w="693" w:type="dxa"/>
            <w:vMerge w:val="restart"/>
            <w:tcBorders>
              <w:bottom w:val="nil"/>
            </w:tcBorders>
          </w:tcPr>
          <w:p>
            <w:pPr>
              <w:pStyle w:val="11"/>
              <w:rPr>
                <w:rFonts w:ascii="宋体"/>
                <w:b/>
                <w:sz w:val="26"/>
              </w:rPr>
            </w:pPr>
          </w:p>
          <w:p>
            <w:pPr>
              <w:pStyle w:val="11"/>
              <w:spacing w:before="2"/>
              <w:rPr>
                <w:rFonts w:ascii="宋体"/>
                <w:b/>
                <w:sz w:val="29"/>
              </w:rPr>
            </w:pPr>
          </w:p>
          <w:p>
            <w:pPr>
              <w:pStyle w:val="11"/>
              <w:ind w:left="165"/>
              <w:rPr>
                <w:rFonts w:ascii="Times New Roman"/>
                <w:sz w:val="24"/>
              </w:rPr>
            </w:pPr>
            <w:r>
              <w:rPr>
                <w:rFonts w:ascii="Times New Roman"/>
                <w:sz w:val="24"/>
              </w:rPr>
              <w:t>111</w:t>
            </w:r>
          </w:p>
        </w:tc>
        <w:tc>
          <w:tcPr>
            <w:tcW w:w="3459" w:type="dxa"/>
          </w:tcPr>
          <w:p>
            <w:pPr>
              <w:pStyle w:val="11"/>
              <w:spacing w:before="139"/>
              <w:ind w:left="108"/>
              <w:rPr>
                <w:rFonts w:hint="eastAsia" w:ascii="仿宋" w:eastAsia="仿宋"/>
                <w:b/>
                <w:sz w:val="24"/>
              </w:rPr>
            </w:pPr>
            <w:r>
              <w:rPr>
                <w:rFonts w:hint="eastAsia" w:ascii="仿宋" w:eastAsia="仿宋"/>
                <w:b/>
                <w:sz w:val="24"/>
              </w:rPr>
              <w:t>艾滋病全人群感染率（</w:t>
            </w:r>
            <w:r>
              <w:rPr>
                <w:rFonts w:ascii="Times New Roman" w:eastAsia="Times New Roman"/>
                <w:b/>
                <w:sz w:val="24"/>
              </w:rPr>
              <w:t>%</w:t>
            </w:r>
            <w:r>
              <w:rPr>
                <w:rFonts w:hint="eastAsia" w:ascii="仿宋" w:eastAsia="仿宋"/>
                <w:b/>
                <w:sz w:val="24"/>
              </w:rPr>
              <w:t>）</w:t>
            </w:r>
          </w:p>
        </w:tc>
        <w:tc>
          <w:tcPr>
            <w:tcW w:w="1282" w:type="dxa"/>
          </w:tcPr>
          <w:p>
            <w:pPr>
              <w:pStyle w:val="11"/>
              <w:spacing w:before="2"/>
              <w:ind w:left="89" w:right="78"/>
              <w:jc w:val="center"/>
              <w:rPr>
                <w:rFonts w:hint="eastAsia" w:ascii="仿宋" w:eastAsia="仿宋"/>
                <w:sz w:val="24"/>
              </w:rPr>
            </w:pPr>
            <w:r>
              <w:rPr>
                <w:rFonts w:ascii="Times New Roman" w:eastAsia="Times New Roman"/>
                <w:sz w:val="24"/>
              </w:rPr>
              <w:t xml:space="preserve">2018 </w:t>
            </w:r>
            <w:r>
              <w:rPr>
                <w:rFonts w:hint="eastAsia" w:ascii="仿宋" w:eastAsia="仿宋"/>
                <w:sz w:val="24"/>
              </w:rPr>
              <w:t>年</w:t>
            </w:r>
          </w:p>
          <w:p>
            <w:pPr>
              <w:pStyle w:val="11"/>
              <w:spacing w:before="1" w:line="257" w:lineRule="exact"/>
              <w:ind w:left="89" w:right="78"/>
              <w:jc w:val="center"/>
              <w:rPr>
                <w:rFonts w:ascii="Times New Roman"/>
                <w:sz w:val="24"/>
              </w:rPr>
            </w:pPr>
            <w:r>
              <w:rPr>
                <w:rFonts w:ascii="Times New Roman"/>
                <w:sz w:val="24"/>
              </w:rPr>
              <w:t>&lt;0.1</w:t>
            </w:r>
          </w:p>
        </w:tc>
        <w:tc>
          <w:tcPr>
            <w:tcW w:w="851" w:type="dxa"/>
          </w:tcPr>
          <w:p>
            <w:pPr>
              <w:pStyle w:val="11"/>
              <w:spacing w:before="155"/>
              <w:ind w:left="65" w:right="56"/>
              <w:jc w:val="center"/>
              <w:rPr>
                <w:rFonts w:ascii="Times New Roman"/>
                <w:sz w:val="24"/>
              </w:rPr>
            </w:pPr>
            <w:r>
              <w:rPr>
                <w:rFonts w:ascii="Times New Roman"/>
                <w:sz w:val="24"/>
              </w:rPr>
              <w:t>&lt;0.15</w:t>
            </w:r>
          </w:p>
        </w:tc>
        <w:tc>
          <w:tcPr>
            <w:tcW w:w="851" w:type="dxa"/>
          </w:tcPr>
          <w:p>
            <w:pPr>
              <w:pStyle w:val="11"/>
              <w:spacing w:before="155"/>
              <w:ind w:left="66" w:right="40"/>
              <w:jc w:val="center"/>
              <w:rPr>
                <w:rFonts w:ascii="Times New Roman"/>
                <w:sz w:val="24"/>
              </w:rPr>
            </w:pPr>
            <w:r>
              <w:rPr>
                <w:rFonts w:ascii="Times New Roman"/>
                <w:sz w:val="24"/>
              </w:rPr>
              <w:t>&lt;0.2</w:t>
            </w:r>
          </w:p>
        </w:tc>
        <w:tc>
          <w:tcPr>
            <w:tcW w:w="1050" w:type="dxa"/>
          </w:tcPr>
          <w:p>
            <w:pPr>
              <w:pStyle w:val="11"/>
              <w:spacing w:before="139"/>
              <w:ind w:left="143" w:right="129"/>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2" w:hRule="atLeast"/>
        </w:trPr>
        <w:tc>
          <w:tcPr>
            <w:tcW w:w="695" w:type="dxa"/>
            <w:vMerge w:val="continue"/>
            <w:tcBorders>
              <w:top w:val="nil"/>
              <w:bottom w:val="nil"/>
            </w:tcBorders>
          </w:tcPr>
          <w:p>
            <w:pPr>
              <w:rPr>
                <w:sz w:val="2"/>
                <w:szCs w:val="2"/>
              </w:rPr>
            </w:pPr>
          </w:p>
        </w:tc>
        <w:tc>
          <w:tcPr>
            <w:tcW w:w="693" w:type="dxa"/>
            <w:vMerge w:val="continue"/>
            <w:tcBorders>
              <w:top w:val="nil"/>
              <w:bottom w:val="nil"/>
            </w:tcBorders>
          </w:tcPr>
          <w:p>
            <w:pPr>
              <w:rPr>
                <w:sz w:val="2"/>
                <w:szCs w:val="2"/>
              </w:rPr>
            </w:pPr>
          </w:p>
        </w:tc>
        <w:tc>
          <w:tcPr>
            <w:tcW w:w="7493" w:type="dxa"/>
            <w:gridSpan w:val="5"/>
            <w:tcBorders>
              <w:bottom w:val="nil"/>
            </w:tcBorders>
          </w:tcPr>
          <w:p>
            <w:pPr>
              <w:pStyle w:val="11"/>
              <w:ind w:left="108"/>
              <w:rPr>
                <w:sz w:val="21"/>
              </w:rPr>
            </w:pPr>
            <w:r>
              <w:rPr>
                <w:sz w:val="21"/>
              </w:rPr>
              <w:t xml:space="preserve">说明：基于 </w:t>
            </w:r>
            <w:r>
              <w:rPr>
                <w:rFonts w:ascii="Times New Roman" w:eastAsia="Times New Roman"/>
                <w:sz w:val="21"/>
              </w:rPr>
              <w:t xml:space="preserve">2018 </w:t>
            </w:r>
            <w:r>
              <w:rPr>
                <w:sz w:val="21"/>
              </w:rPr>
              <w:t>年的感染水平测算。近几年艾滋病新发感染人数基本平稳，随</w:t>
            </w:r>
          </w:p>
          <w:p>
            <w:pPr>
              <w:pStyle w:val="11"/>
              <w:spacing w:before="2" w:line="250" w:lineRule="exact"/>
              <w:ind w:left="108"/>
              <w:rPr>
                <w:sz w:val="21"/>
              </w:rPr>
            </w:pPr>
            <w:r>
              <w:rPr>
                <w:sz w:val="21"/>
              </w:rPr>
              <w:t>着抗病毒覆盖面的扩大和治疗效果的提升，感染者存活时间延长，病死率降低，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4" w:hRule="atLeast"/>
        </w:trPr>
        <w:tc>
          <w:tcPr>
            <w:tcW w:w="695" w:type="dxa"/>
            <w:tcBorders>
              <w:top w:val="nil"/>
              <w:bottom w:val="nil"/>
            </w:tcBorders>
          </w:tcPr>
          <w:p>
            <w:pPr>
              <w:pStyle w:val="11"/>
              <w:spacing w:line="265" w:lineRule="exact"/>
              <w:ind w:left="13"/>
              <w:jc w:val="center"/>
              <w:rPr>
                <w:rFonts w:hint="eastAsia" w:ascii="黑体" w:eastAsia="黑体"/>
                <w:sz w:val="24"/>
              </w:rPr>
            </w:pPr>
            <w:r>
              <w:rPr>
                <w:rFonts w:hint="eastAsia" w:ascii="黑体" w:eastAsia="黑体"/>
                <w:sz w:val="24"/>
              </w:rPr>
              <w:t>及</w:t>
            </w:r>
          </w:p>
        </w:tc>
        <w:tc>
          <w:tcPr>
            <w:tcW w:w="693" w:type="dxa"/>
            <w:tcBorders>
              <w:top w:val="nil"/>
              <w:bottom w:val="nil"/>
            </w:tcBorders>
          </w:tcPr>
          <w:p>
            <w:pPr>
              <w:pStyle w:val="11"/>
              <w:rPr>
                <w:rFonts w:ascii="Times New Roman"/>
                <w:sz w:val="20"/>
              </w:rPr>
            </w:pPr>
          </w:p>
        </w:tc>
        <w:tc>
          <w:tcPr>
            <w:tcW w:w="7493" w:type="dxa"/>
            <w:gridSpan w:val="5"/>
            <w:tcBorders>
              <w:top w:val="nil"/>
              <w:bottom w:val="nil"/>
            </w:tcBorders>
          </w:tcPr>
          <w:p>
            <w:pPr>
              <w:pStyle w:val="11"/>
              <w:spacing w:before="3" w:line="261" w:lineRule="exact"/>
              <w:ind w:left="108"/>
              <w:rPr>
                <w:sz w:val="21"/>
              </w:rPr>
            </w:pPr>
            <w:r>
              <w:rPr>
                <w:sz w:val="21"/>
              </w:rPr>
              <w:t>一段时间内，感染者总数仍将持续增加，但总体处于低流行水平。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2" w:hRule="atLeast"/>
        </w:trPr>
        <w:tc>
          <w:tcPr>
            <w:tcW w:w="695" w:type="dxa"/>
            <w:vMerge w:val="restart"/>
            <w:tcBorders>
              <w:top w:val="nil"/>
              <w:bottom w:val="nil"/>
            </w:tcBorders>
          </w:tcPr>
          <w:p>
            <w:pPr>
              <w:pStyle w:val="11"/>
              <w:spacing w:before="24" w:line="248" w:lineRule="exact"/>
              <w:ind w:left="226"/>
              <w:rPr>
                <w:rFonts w:hint="eastAsia" w:ascii="黑体" w:eastAsia="黑体"/>
                <w:sz w:val="24"/>
              </w:rPr>
            </w:pPr>
            <w:r>
              <w:rPr>
                <w:rFonts w:hint="eastAsia" w:ascii="黑体" w:eastAsia="黑体"/>
                <w:sz w:val="24"/>
              </w:rPr>
              <w:t>地</w:t>
            </w:r>
          </w:p>
        </w:tc>
        <w:tc>
          <w:tcPr>
            <w:tcW w:w="693" w:type="dxa"/>
            <w:tcBorders>
              <w:top w:val="nil"/>
            </w:tcBorders>
          </w:tcPr>
          <w:p>
            <w:pPr>
              <w:pStyle w:val="11"/>
              <w:rPr>
                <w:rFonts w:ascii="Times New Roman"/>
                <w:sz w:val="18"/>
              </w:rPr>
            </w:pPr>
          </w:p>
        </w:tc>
        <w:tc>
          <w:tcPr>
            <w:tcW w:w="7493" w:type="dxa"/>
            <w:gridSpan w:val="5"/>
            <w:tcBorders>
              <w:top w:val="nil"/>
            </w:tcBorders>
          </w:tcPr>
          <w:p>
            <w:pPr>
              <w:pStyle w:val="11"/>
              <w:spacing w:line="242" w:lineRule="exact"/>
              <w:ind w:left="108"/>
              <w:rPr>
                <w:sz w:val="21"/>
              </w:rPr>
            </w:pPr>
            <w:r>
              <w:rPr>
                <w:sz w:val="21"/>
              </w:rPr>
              <w:t>计算方法：估计存活艾滋病感染者数</w:t>
            </w:r>
            <w:r>
              <w:rPr>
                <w:rFonts w:ascii="Times New Roman" w:hAnsi="Times New Roman" w:eastAsia="Times New Roman"/>
                <w:sz w:val="21"/>
              </w:rPr>
              <w:t>/</w:t>
            </w:r>
            <w:r>
              <w:rPr>
                <w:sz w:val="21"/>
              </w:rPr>
              <w:t>全国人口数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 w:hRule="atLeast"/>
        </w:trPr>
        <w:tc>
          <w:tcPr>
            <w:tcW w:w="695" w:type="dxa"/>
            <w:vMerge w:val="continue"/>
            <w:tcBorders>
              <w:top w:val="nil"/>
              <w:bottom w:val="nil"/>
            </w:tcBorders>
          </w:tcPr>
          <w:p>
            <w:pPr>
              <w:rPr>
                <w:sz w:val="2"/>
                <w:szCs w:val="2"/>
              </w:rPr>
            </w:pPr>
          </w:p>
        </w:tc>
        <w:tc>
          <w:tcPr>
            <w:tcW w:w="693" w:type="dxa"/>
            <w:tcBorders>
              <w:bottom w:val="nil"/>
            </w:tcBorders>
          </w:tcPr>
          <w:p>
            <w:pPr>
              <w:pStyle w:val="11"/>
              <w:rPr>
                <w:rFonts w:ascii="Times New Roman"/>
                <w:sz w:val="2"/>
              </w:rPr>
            </w:pPr>
          </w:p>
        </w:tc>
        <w:tc>
          <w:tcPr>
            <w:tcW w:w="3459" w:type="dxa"/>
            <w:tcBorders>
              <w:bottom w:val="nil"/>
            </w:tcBorders>
          </w:tcPr>
          <w:p>
            <w:pPr>
              <w:pStyle w:val="11"/>
              <w:rPr>
                <w:rFonts w:ascii="Times New Roman"/>
                <w:sz w:val="2"/>
              </w:rPr>
            </w:pPr>
          </w:p>
        </w:tc>
        <w:tc>
          <w:tcPr>
            <w:tcW w:w="1282" w:type="dxa"/>
            <w:vMerge w:val="restart"/>
          </w:tcPr>
          <w:p>
            <w:pPr>
              <w:pStyle w:val="11"/>
              <w:spacing w:before="171"/>
              <w:ind w:left="14"/>
              <w:jc w:val="center"/>
              <w:rPr>
                <w:rFonts w:ascii="Times New Roman" w:hAnsi="Times New Roman"/>
                <w:sz w:val="24"/>
              </w:rPr>
            </w:pPr>
            <w:r>
              <w:rPr>
                <w:rFonts w:ascii="Times New Roman" w:hAnsi="Times New Roman"/>
                <w:sz w:val="24"/>
              </w:rPr>
              <w:t>—</w:t>
            </w:r>
          </w:p>
        </w:tc>
        <w:tc>
          <w:tcPr>
            <w:tcW w:w="851" w:type="dxa"/>
            <w:vMerge w:val="restart"/>
          </w:tcPr>
          <w:p>
            <w:pPr>
              <w:pStyle w:val="11"/>
              <w:spacing w:before="171"/>
              <w:ind w:left="66" w:right="54"/>
              <w:jc w:val="center"/>
              <w:rPr>
                <w:rFonts w:ascii="Times New Roman"/>
                <w:sz w:val="24"/>
              </w:rPr>
            </w:pPr>
            <w:r>
              <w:rPr>
                <w:rFonts w:ascii="Times New Roman"/>
                <w:sz w:val="24"/>
              </w:rPr>
              <w:t>&lt;1</w:t>
            </w:r>
          </w:p>
        </w:tc>
        <w:tc>
          <w:tcPr>
            <w:tcW w:w="851" w:type="dxa"/>
            <w:vMerge w:val="restart"/>
          </w:tcPr>
          <w:p>
            <w:pPr>
              <w:pStyle w:val="11"/>
              <w:spacing w:before="171"/>
              <w:ind w:left="206"/>
              <w:rPr>
                <w:rFonts w:ascii="Times New Roman"/>
                <w:sz w:val="24"/>
              </w:rPr>
            </w:pPr>
            <w:r>
              <w:rPr>
                <w:rFonts w:ascii="Times New Roman"/>
                <w:sz w:val="24"/>
              </w:rPr>
              <w:t>&lt;0.5</w:t>
            </w:r>
          </w:p>
        </w:tc>
        <w:tc>
          <w:tcPr>
            <w:tcW w:w="1050" w:type="dxa"/>
            <w:vMerge w:val="restart"/>
          </w:tcPr>
          <w:p>
            <w:pPr>
              <w:pStyle w:val="11"/>
              <w:spacing w:before="155"/>
              <w:ind w:left="164"/>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8" w:hRule="atLeast"/>
        </w:trPr>
        <w:tc>
          <w:tcPr>
            <w:tcW w:w="695" w:type="dxa"/>
            <w:tcBorders>
              <w:top w:val="nil"/>
              <w:bottom w:val="nil"/>
            </w:tcBorders>
          </w:tcPr>
          <w:p>
            <w:pPr>
              <w:pStyle w:val="11"/>
              <w:spacing w:before="19" w:line="250" w:lineRule="exact"/>
              <w:ind w:left="13"/>
              <w:jc w:val="center"/>
              <w:rPr>
                <w:rFonts w:hint="eastAsia" w:ascii="黑体" w:eastAsia="黑体"/>
                <w:sz w:val="24"/>
              </w:rPr>
            </w:pPr>
            <w:r>
              <w:rPr>
                <w:rFonts w:hint="eastAsia" w:ascii="黑体" w:eastAsia="黑体"/>
                <w:sz w:val="24"/>
              </w:rPr>
              <w:t>方</w:t>
            </w:r>
          </w:p>
        </w:tc>
        <w:tc>
          <w:tcPr>
            <w:tcW w:w="693" w:type="dxa"/>
            <w:tcBorders>
              <w:top w:val="nil"/>
              <w:bottom w:val="nil"/>
            </w:tcBorders>
          </w:tcPr>
          <w:p>
            <w:pPr>
              <w:pStyle w:val="11"/>
              <w:rPr>
                <w:rFonts w:ascii="Times New Roman"/>
                <w:sz w:val="20"/>
              </w:rPr>
            </w:pPr>
          </w:p>
        </w:tc>
        <w:tc>
          <w:tcPr>
            <w:tcW w:w="3459" w:type="dxa"/>
            <w:tcBorders>
              <w:top w:val="nil"/>
              <w:bottom w:val="nil"/>
            </w:tcBorders>
          </w:tcPr>
          <w:p>
            <w:pPr>
              <w:pStyle w:val="11"/>
              <w:spacing w:line="269" w:lineRule="exact"/>
              <w:ind w:left="108"/>
              <w:rPr>
                <w:rFonts w:hint="eastAsia" w:ascii="仿宋" w:eastAsia="仿宋"/>
                <w:b/>
                <w:sz w:val="24"/>
              </w:rPr>
            </w:pPr>
            <w:r>
              <w:rPr>
                <w:rFonts w:ascii="Times New Roman" w:eastAsia="Times New Roman"/>
                <w:b/>
                <w:sz w:val="24"/>
              </w:rPr>
              <w:t xml:space="preserve">5 </w:t>
            </w:r>
            <w:r>
              <w:rPr>
                <w:rFonts w:hint="eastAsia" w:ascii="仿宋" w:eastAsia="仿宋"/>
                <w:b/>
                <w:sz w:val="24"/>
              </w:rPr>
              <w:t>岁以下儿童乙型肝炎病毒表</w:t>
            </w:r>
          </w:p>
        </w:tc>
        <w:tc>
          <w:tcPr>
            <w:tcW w:w="1282"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105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0" w:hRule="atLeast"/>
        </w:trPr>
        <w:tc>
          <w:tcPr>
            <w:tcW w:w="695" w:type="dxa"/>
            <w:vMerge w:val="restart"/>
            <w:tcBorders>
              <w:top w:val="nil"/>
            </w:tcBorders>
          </w:tcPr>
          <w:p>
            <w:pPr>
              <w:pStyle w:val="11"/>
              <w:spacing w:before="27" w:line="242" w:lineRule="auto"/>
              <w:ind w:left="226" w:right="211"/>
              <w:jc w:val="both"/>
              <w:rPr>
                <w:rFonts w:hint="eastAsia" w:ascii="黑体" w:eastAsia="黑体"/>
                <w:sz w:val="24"/>
              </w:rPr>
            </w:pPr>
            <w:r>
              <w:rPr>
                <w:rFonts w:hint="eastAsia" w:ascii="黑体" w:eastAsia="黑体"/>
                <w:sz w:val="24"/>
              </w:rPr>
              <w:t>病防控行动</w:t>
            </w:r>
          </w:p>
        </w:tc>
        <w:tc>
          <w:tcPr>
            <w:tcW w:w="693" w:type="dxa"/>
            <w:vMerge w:val="restart"/>
            <w:tcBorders>
              <w:top w:val="nil"/>
            </w:tcBorders>
          </w:tcPr>
          <w:p>
            <w:pPr>
              <w:pStyle w:val="11"/>
              <w:spacing w:before="110"/>
              <w:ind w:left="165"/>
              <w:rPr>
                <w:rFonts w:ascii="Times New Roman"/>
                <w:sz w:val="24"/>
              </w:rPr>
            </w:pPr>
            <w:r>
              <w:rPr>
                <w:rFonts w:ascii="Times New Roman"/>
                <w:sz w:val="24"/>
              </w:rPr>
              <w:t>112</w:t>
            </w:r>
          </w:p>
        </w:tc>
        <w:tc>
          <w:tcPr>
            <w:tcW w:w="3459" w:type="dxa"/>
            <w:tcBorders>
              <w:top w:val="nil"/>
            </w:tcBorders>
          </w:tcPr>
          <w:p>
            <w:pPr>
              <w:pStyle w:val="11"/>
              <w:spacing w:line="260" w:lineRule="exact"/>
              <w:ind w:left="108"/>
              <w:rPr>
                <w:rFonts w:hint="eastAsia" w:ascii="仿宋" w:eastAsia="仿宋"/>
                <w:b/>
                <w:sz w:val="24"/>
              </w:rPr>
            </w:pPr>
            <w:r>
              <w:rPr>
                <w:rFonts w:hint="eastAsia" w:ascii="仿宋" w:eastAsia="仿宋"/>
                <w:b/>
                <w:sz w:val="24"/>
              </w:rPr>
              <w:t>面抗原流行率（</w:t>
            </w:r>
            <w:r>
              <w:rPr>
                <w:rFonts w:ascii="Times New Roman" w:eastAsia="Times New Roman"/>
                <w:b/>
                <w:sz w:val="24"/>
              </w:rPr>
              <w:t>%</w:t>
            </w:r>
            <w:r>
              <w:rPr>
                <w:rFonts w:hint="eastAsia" w:ascii="仿宋" w:eastAsia="仿宋"/>
                <w:b/>
                <w:sz w:val="24"/>
              </w:rPr>
              <w:t>）</w:t>
            </w:r>
          </w:p>
        </w:tc>
        <w:tc>
          <w:tcPr>
            <w:tcW w:w="1282"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105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before="2"/>
              <w:ind w:left="108"/>
              <w:rPr>
                <w:sz w:val="21"/>
              </w:rPr>
            </w:pPr>
            <w:r>
              <w:rPr>
                <w:sz w:val="21"/>
              </w:rPr>
              <w:t xml:space="preserve">说明：指 </w:t>
            </w:r>
            <w:r>
              <w:rPr>
                <w:rFonts w:ascii="Times New Roman" w:eastAsia="Times New Roman"/>
                <w:sz w:val="21"/>
              </w:rPr>
              <w:t xml:space="preserve">5 </w:t>
            </w:r>
            <w:r>
              <w:rPr>
                <w:sz w:val="21"/>
              </w:rPr>
              <w:t>岁以下儿童中乙型肝炎病毒表面抗原携带者的比例。</w:t>
            </w:r>
          </w:p>
          <w:p>
            <w:pPr>
              <w:pStyle w:val="11"/>
              <w:spacing w:before="2" w:line="252" w:lineRule="exact"/>
              <w:ind w:left="108"/>
              <w:rPr>
                <w:sz w:val="21"/>
              </w:rPr>
            </w:pPr>
            <w:r>
              <w:rPr>
                <w:sz w:val="21"/>
              </w:rPr>
              <w:t>计算方法：</w:t>
            </w:r>
            <w:r>
              <w:rPr>
                <w:rFonts w:ascii="Times New Roman" w:hAnsi="Times New Roman" w:eastAsia="Times New Roman"/>
                <w:sz w:val="21"/>
              </w:rPr>
              <w:t xml:space="preserve">5 </w:t>
            </w:r>
            <w:r>
              <w:rPr>
                <w:sz w:val="21"/>
              </w:rPr>
              <w:t>岁以下儿童中表面抗原阳性的儿童</w:t>
            </w:r>
            <w:r>
              <w:rPr>
                <w:rFonts w:ascii="Times New Roman" w:hAnsi="Times New Roman" w:eastAsia="Times New Roman"/>
                <w:sz w:val="21"/>
              </w:rPr>
              <w:t xml:space="preserve">/5 </w:t>
            </w:r>
            <w:r>
              <w:rPr>
                <w:sz w:val="21"/>
              </w:rPr>
              <w:t>岁以下儿童总数</w:t>
            </w:r>
            <w:r>
              <w:rPr>
                <w:rFonts w:ascii="Times New Roman" w:hAnsi="Times New Roman" w:eastAsia="Times New Roman"/>
                <w:sz w:val="21"/>
              </w:rPr>
              <w:t>×100%</w:t>
            </w:r>
            <w:r>
              <w:rPr>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spacing w:before="6"/>
              <w:rPr>
                <w:rFonts w:ascii="宋体"/>
                <w:b/>
                <w:sz w:val="29"/>
              </w:rPr>
            </w:pPr>
          </w:p>
          <w:p>
            <w:pPr>
              <w:pStyle w:val="11"/>
              <w:ind w:left="165"/>
              <w:rPr>
                <w:rFonts w:ascii="Times New Roman"/>
                <w:sz w:val="24"/>
              </w:rPr>
            </w:pPr>
            <w:r>
              <w:rPr>
                <w:rFonts w:ascii="Times New Roman"/>
                <w:sz w:val="24"/>
              </w:rPr>
              <w:t>113</w:t>
            </w:r>
          </w:p>
        </w:tc>
        <w:tc>
          <w:tcPr>
            <w:tcW w:w="3459" w:type="dxa"/>
          </w:tcPr>
          <w:p>
            <w:pPr>
              <w:pStyle w:val="11"/>
              <w:spacing w:before="158"/>
              <w:ind w:left="108"/>
              <w:rPr>
                <w:rFonts w:hint="eastAsia" w:ascii="仿宋" w:eastAsia="仿宋"/>
                <w:b/>
                <w:sz w:val="24"/>
              </w:rPr>
            </w:pPr>
            <w:r>
              <w:rPr>
                <w:rFonts w:hint="eastAsia" w:ascii="仿宋" w:eastAsia="仿宋"/>
                <w:b/>
                <w:sz w:val="24"/>
              </w:rPr>
              <w:t>肺结核发病率（</w:t>
            </w:r>
            <w:r>
              <w:rPr>
                <w:rFonts w:ascii="Times New Roman" w:eastAsia="Times New Roman"/>
                <w:b/>
                <w:sz w:val="24"/>
              </w:rPr>
              <w:t xml:space="preserve">1/10 </w:t>
            </w:r>
            <w:r>
              <w:rPr>
                <w:rFonts w:hint="eastAsia" w:ascii="仿宋" w:eastAsia="仿宋"/>
                <w:b/>
                <w:sz w:val="24"/>
              </w:rPr>
              <w:t>万）</w:t>
            </w:r>
          </w:p>
        </w:tc>
        <w:tc>
          <w:tcPr>
            <w:tcW w:w="1282" w:type="dxa"/>
          </w:tcPr>
          <w:p>
            <w:pPr>
              <w:pStyle w:val="11"/>
              <w:spacing w:before="174"/>
              <w:ind w:left="14"/>
              <w:jc w:val="center"/>
              <w:rPr>
                <w:rFonts w:ascii="Times New Roman" w:hAnsi="Times New Roman"/>
                <w:sz w:val="24"/>
              </w:rPr>
            </w:pPr>
            <w:r>
              <w:rPr>
                <w:rFonts w:ascii="Times New Roman" w:hAnsi="Times New Roman"/>
                <w:sz w:val="24"/>
              </w:rPr>
              <w:t>—</w:t>
            </w:r>
          </w:p>
        </w:tc>
        <w:tc>
          <w:tcPr>
            <w:tcW w:w="851" w:type="dxa"/>
          </w:tcPr>
          <w:p>
            <w:pPr>
              <w:pStyle w:val="11"/>
              <w:spacing w:before="174"/>
              <w:ind w:left="66" w:right="54"/>
              <w:jc w:val="center"/>
              <w:rPr>
                <w:rFonts w:ascii="Times New Roman"/>
                <w:sz w:val="24"/>
              </w:rPr>
            </w:pPr>
            <w:r>
              <w:rPr>
                <w:rFonts w:ascii="Times New Roman"/>
                <w:sz w:val="24"/>
              </w:rPr>
              <w:t>&lt;55</w:t>
            </w:r>
          </w:p>
        </w:tc>
        <w:tc>
          <w:tcPr>
            <w:tcW w:w="851" w:type="dxa"/>
          </w:tcPr>
          <w:p>
            <w:pPr>
              <w:pStyle w:val="11"/>
              <w:spacing w:before="2"/>
              <w:ind w:left="182"/>
              <w:rPr>
                <w:rFonts w:hint="eastAsia" w:ascii="仿宋" w:eastAsia="仿宋"/>
                <w:sz w:val="24"/>
              </w:rPr>
            </w:pPr>
            <w:r>
              <w:rPr>
                <w:rFonts w:hint="eastAsia" w:ascii="仿宋" w:eastAsia="仿宋"/>
                <w:sz w:val="24"/>
              </w:rPr>
              <w:t>有效</w:t>
            </w:r>
          </w:p>
          <w:p>
            <w:pPr>
              <w:pStyle w:val="11"/>
              <w:spacing w:before="5" w:line="289" w:lineRule="exact"/>
              <w:ind w:left="182"/>
              <w:rPr>
                <w:rFonts w:hint="eastAsia" w:ascii="仿宋" w:eastAsia="仿宋"/>
                <w:sz w:val="24"/>
              </w:rPr>
            </w:pPr>
            <w:r>
              <w:rPr>
                <w:rFonts w:hint="eastAsia" w:ascii="仿宋" w:eastAsia="仿宋"/>
                <w:sz w:val="24"/>
              </w:rPr>
              <w:t>控制</w:t>
            </w:r>
          </w:p>
        </w:tc>
        <w:tc>
          <w:tcPr>
            <w:tcW w:w="1050" w:type="dxa"/>
          </w:tcPr>
          <w:p>
            <w:pPr>
              <w:pStyle w:val="11"/>
              <w:spacing w:before="158"/>
              <w:ind w:left="143" w:right="129"/>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3" w:type="dxa"/>
            <w:gridSpan w:val="5"/>
          </w:tcPr>
          <w:p>
            <w:pPr>
              <w:pStyle w:val="11"/>
              <w:spacing w:before="61"/>
              <w:ind w:left="108"/>
              <w:rPr>
                <w:sz w:val="21"/>
              </w:rPr>
            </w:pPr>
            <w:r>
              <w:rPr>
                <w:sz w:val="21"/>
              </w:rPr>
              <w:t>说明：有效控制是指我国肺结核疫情呈稳定下降趋势。</w:t>
            </w:r>
          </w:p>
        </w:tc>
      </w:tr>
    </w:tbl>
    <w:p>
      <w:pPr>
        <w:spacing w:after="0"/>
        <w:rPr>
          <w:sz w:val="21"/>
        </w:rPr>
        <w:sectPr>
          <w:pgSz w:w="11910" w:h="16840"/>
          <w:pgMar w:top="1420" w:right="1140" w:bottom="1300" w:left="1400" w:header="0" w:footer="1120" w:gutter="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right="143"/>
              <w:jc w:val="right"/>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restart"/>
          </w:tcPr>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rPr>
                <w:rFonts w:ascii="宋体"/>
                <w:b/>
                <w:sz w:val="24"/>
              </w:rPr>
            </w:pPr>
          </w:p>
          <w:p>
            <w:pPr>
              <w:pStyle w:val="11"/>
              <w:spacing w:before="10"/>
              <w:rPr>
                <w:rFonts w:ascii="宋体"/>
                <w:b/>
                <w:sz w:val="32"/>
              </w:rPr>
            </w:pPr>
          </w:p>
          <w:p>
            <w:pPr>
              <w:pStyle w:val="11"/>
              <w:spacing w:line="242" w:lineRule="auto"/>
              <w:ind w:left="226" w:right="45" w:hanging="89"/>
              <w:rPr>
                <w:rFonts w:hint="eastAsia" w:ascii="黑体" w:eastAsia="黑体"/>
                <w:sz w:val="24"/>
              </w:rPr>
            </w:pPr>
            <w:r>
              <w:rPr>
                <w:rFonts w:hint="eastAsia" w:ascii="黑体" w:eastAsia="黑体"/>
                <w:w w:val="50"/>
                <w:sz w:val="24"/>
              </w:rPr>
              <w:t xml:space="preserve">（十五） </w:t>
            </w:r>
            <w:r>
              <w:rPr>
                <w:rFonts w:hint="eastAsia" w:ascii="黑体" w:eastAsia="黑体"/>
                <w:sz w:val="24"/>
              </w:rPr>
              <w:t>传染病及地方病防控行动</w:t>
            </w:r>
          </w:p>
        </w:tc>
        <w:tc>
          <w:tcPr>
            <w:tcW w:w="693" w:type="dxa"/>
          </w:tcPr>
          <w:p>
            <w:pPr>
              <w:pStyle w:val="11"/>
              <w:rPr>
                <w:rFonts w:ascii="Times New Roman"/>
                <w:sz w:val="20"/>
              </w:rPr>
            </w:pPr>
          </w:p>
        </w:tc>
        <w:tc>
          <w:tcPr>
            <w:tcW w:w="7492" w:type="dxa"/>
            <w:gridSpan w:val="5"/>
          </w:tcPr>
          <w:p>
            <w:pPr>
              <w:pStyle w:val="11"/>
              <w:spacing w:before="1"/>
              <w:ind w:left="108"/>
              <w:rPr>
                <w:sz w:val="21"/>
              </w:rPr>
            </w:pPr>
            <w:r>
              <w:rPr>
                <w:spacing w:val="-6"/>
                <w:sz w:val="21"/>
              </w:rPr>
              <w:t>计算方法：指一定地区、一定人群，在一定时间内</w:t>
            </w:r>
            <w:r>
              <w:rPr>
                <w:sz w:val="21"/>
              </w:rPr>
              <w:t>（</w:t>
            </w:r>
            <w:r>
              <w:rPr>
                <w:spacing w:val="-15"/>
                <w:sz w:val="21"/>
              </w:rPr>
              <w:t xml:space="preserve">通常为 </w:t>
            </w:r>
            <w:r>
              <w:rPr>
                <w:rFonts w:ascii="Times New Roman" w:eastAsia="Times New Roman"/>
                <w:sz w:val="21"/>
              </w:rPr>
              <w:t xml:space="preserve">1 </w:t>
            </w:r>
            <w:r>
              <w:rPr>
                <w:sz w:val="21"/>
              </w:rPr>
              <w:t>年</w:t>
            </w:r>
            <w:r>
              <w:rPr>
                <w:spacing w:val="-15"/>
                <w:sz w:val="21"/>
              </w:rPr>
              <w:t>）</w:t>
            </w:r>
            <w:r>
              <w:rPr>
                <w:sz w:val="21"/>
              </w:rPr>
              <w:t>估算新发活动</w:t>
            </w:r>
          </w:p>
          <w:p>
            <w:pPr>
              <w:pStyle w:val="11"/>
              <w:spacing w:before="2" w:line="253" w:lineRule="exact"/>
              <w:ind w:left="108"/>
              <w:rPr>
                <w:sz w:val="21"/>
              </w:rPr>
            </w:pPr>
            <w:r>
              <w:rPr>
                <w:sz w:val="21"/>
              </w:rPr>
              <w:t>性肺结核患者人数</w:t>
            </w:r>
            <w:r>
              <w:rPr>
                <w:rFonts w:ascii="Times New Roman" w:hAnsi="Times New Roman" w:eastAsia="Times New Roman"/>
                <w:sz w:val="21"/>
              </w:rPr>
              <w:t>/</w:t>
            </w:r>
            <w:r>
              <w:rPr>
                <w:sz w:val="21"/>
              </w:rPr>
              <w:t>该地区总人数</w:t>
            </w:r>
            <w:r>
              <w:rPr>
                <w:rFonts w:ascii="Times New Roman" w:hAnsi="Times New Roman" w:eastAsia="Times New Roman"/>
                <w:sz w:val="21"/>
              </w:rPr>
              <w:t xml:space="preserve">×10 </w:t>
            </w:r>
            <w:r>
              <w:rPr>
                <w:sz w:val="21"/>
              </w:rPr>
              <w:t>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spacing w:before="8"/>
              <w:rPr>
                <w:rFonts w:ascii="宋体"/>
                <w:b/>
                <w:sz w:val="29"/>
              </w:rPr>
            </w:pPr>
          </w:p>
          <w:p>
            <w:pPr>
              <w:pStyle w:val="11"/>
              <w:ind w:left="165"/>
              <w:rPr>
                <w:rFonts w:ascii="Times New Roman"/>
                <w:sz w:val="24"/>
              </w:rPr>
            </w:pPr>
            <w:r>
              <w:rPr>
                <w:rFonts w:ascii="Times New Roman"/>
                <w:sz w:val="24"/>
              </w:rPr>
              <w:t>114</w:t>
            </w:r>
          </w:p>
        </w:tc>
        <w:tc>
          <w:tcPr>
            <w:tcW w:w="3458" w:type="dxa"/>
          </w:tcPr>
          <w:p>
            <w:pPr>
              <w:pStyle w:val="11"/>
              <w:spacing w:before="1"/>
              <w:ind w:left="108"/>
              <w:rPr>
                <w:rFonts w:hint="eastAsia" w:ascii="仿宋" w:eastAsia="仿宋"/>
                <w:b/>
                <w:sz w:val="24"/>
              </w:rPr>
            </w:pPr>
            <w:r>
              <w:rPr>
                <w:rFonts w:hint="eastAsia" w:ascii="仿宋" w:eastAsia="仿宋"/>
                <w:b/>
                <w:sz w:val="24"/>
              </w:rPr>
              <w:t>达到基本控制要求的包虫病流</w:t>
            </w:r>
          </w:p>
          <w:p>
            <w:pPr>
              <w:pStyle w:val="11"/>
              <w:spacing w:before="5" w:line="290" w:lineRule="exact"/>
              <w:ind w:left="108"/>
              <w:rPr>
                <w:rFonts w:hint="eastAsia" w:ascii="仿宋" w:eastAsia="仿宋"/>
                <w:b/>
                <w:sz w:val="24"/>
              </w:rPr>
            </w:pPr>
            <w:r>
              <w:rPr>
                <w:rFonts w:hint="eastAsia" w:ascii="仿宋" w:eastAsia="仿宋"/>
                <w:b/>
                <w:sz w:val="24"/>
              </w:rPr>
              <w:t>行县比例（</w:t>
            </w:r>
            <w:r>
              <w:rPr>
                <w:rFonts w:ascii="Times New Roman" w:eastAsia="Times New Roman"/>
                <w:b/>
                <w:sz w:val="24"/>
              </w:rPr>
              <w:t>%</w:t>
            </w:r>
            <w:r>
              <w:rPr>
                <w:rFonts w:hint="eastAsia" w:ascii="仿宋" w:eastAsia="仿宋"/>
                <w:b/>
                <w:sz w:val="24"/>
              </w:rPr>
              <w:t>）</w:t>
            </w:r>
          </w:p>
        </w:tc>
        <w:tc>
          <w:tcPr>
            <w:tcW w:w="1282" w:type="dxa"/>
          </w:tcPr>
          <w:p>
            <w:pPr>
              <w:pStyle w:val="11"/>
              <w:spacing w:before="173"/>
              <w:ind w:left="16"/>
              <w:jc w:val="center"/>
              <w:rPr>
                <w:rFonts w:ascii="Times New Roman" w:hAnsi="Times New Roman"/>
                <w:sz w:val="24"/>
              </w:rPr>
            </w:pPr>
            <w:r>
              <w:rPr>
                <w:rFonts w:ascii="Times New Roman" w:hAnsi="Times New Roman"/>
                <w:sz w:val="24"/>
              </w:rPr>
              <w:t>—</w:t>
            </w:r>
          </w:p>
        </w:tc>
        <w:tc>
          <w:tcPr>
            <w:tcW w:w="851" w:type="dxa"/>
          </w:tcPr>
          <w:p>
            <w:pPr>
              <w:pStyle w:val="11"/>
              <w:spacing w:before="173"/>
              <w:ind w:left="199"/>
              <w:rPr>
                <w:rFonts w:ascii="Times New Roman" w:hAnsi="Times New Roman"/>
                <w:sz w:val="15"/>
              </w:rPr>
            </w:pPr>
            <w:r>
              <w:rPr>
                <w:rFonts w:ascii="Times New Roman" w:hAnsi="Times New Roman"/>
                <w:sz w:val="24"/>
              </w:rPr>
              <w:t>≥70</w:t>
            </w:r>
            <w:r>
              <w:rPr>
                <w:rFonts w:ascii="Times New Roman" w:hAnsi="Times New Roman"/>
                <w:position w:val="8"/>
                <w:sz w:val="15"/>
              </w:rPr>
              <w:t>#</w:t>
            </w:r>
          </w:p>
        </w:tc>
        <w:tc>
          <w:tcPr>
            <w:tcW w:w="851" w:type="dxa"/>
          </w:tcPr>
          <w:p>
            <w:pPr>
              <w:pStyle w:val="11"/>
              <w:spacing w:before="173"/>
              <w:ind w:right="230"/>
              <w:jc w:val="right"/>
              <w:rPr>
                <w:rFonts w:ascii="Times New Roman"/>
                <w:sz w:val="24"/>
              </w:rPr>
            </w:pPr>
            <w:r>
              <w:rPr>
                <w:rFonts w:ascii="Times New Roman"/>
                <w:sz w:val="24"/>
              </w:rPr>
              <w:t>100</w:t>
            </w:r>
          </w:p>
        </w:tc>
        <w:tc>
          <w:tcPr>
            <w:tcW w:w="1050" w:type="dxa"/>
          </w:tcPr>
          <w:p>
            <w:pPr>
              <w:pStyle w:val="11"/>
              <w:spacing w:before="157"/>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63"/>
              <w:ind w:left="108" w:right="-15"/>
              <w:rPr>
                <w:sz w:val="21"/>
              </w:rPr>
            </w:pPr>
            <w:r>
              <w:rPr>
                <w:spacing w:val="-11"/>
                <w:w w:val="99"/>
                <w:sz w:val="21"/>
              </w:rPr>
              <w:t>说明：基本控制包虫病是指流行县人群患病率小于</w:t>
            </w:r>
            <w:r>
              <w:rPr>
                <w:spacing w:val="-53"/>
                <w:sz w:val="21"/>
              </w:rPr>
              <w:t xml:space="preserve"> </w:t>
            </w:r>
            <w:r>
              <w:rPr>
                <w:rFonts w:ascii="Times New Roman" w:eastAsia="Times New Roman"/>
                <w:spacing w:val="1"/>
                <w:w w:val="99"/>
                <w:sz w:val="21"/>
              </w:rPr>
              <w:t>1</w:t>
            </w:r>
            <w:r>
              <w:rPr>
                <w:rFonts w:ascii="Times New Roman" w:eastAsia="Times New Roman"/>
                <w:spacing w:val="-2"/>
                <w:w w:val="99"/>
                <w:sz w:val="21"/>
              </w:rPr>
              <w:t>%</w:t>
            </w:r>
            <w:r>
              <w:rPr>
                <w:spacing w:val="-13"/>
                <w:w w:val="99"/>
                <w:sz w:val="21"/>
              </w:rPr>
              <w:t>，犬及家畜感染率小于</w:t>
            </w:r>
            <w:r>
              <w:rPr>
                <w:spacing w:val="-53"/>
                <w:sz w:val="21"/>
              </w:rPr>
              <w:t xml:space="preserve"> </w:t>
            </w:r>
            <w:r>
              <w:rPr>
                <w:rFonts w:ascii="Times New Roman" w:eastAsia="Times New Roman"/>
                <w:spacing w:val="1"/>
                <w:w w:val="99"/>
                <w:sz w:val="21"/>
              </w:rPr>
              <w:t>5%</w:t>
            </w:r>
            <w:r>
              <w:rPr>
                <w:w w:val="99"/>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restart"/>
          </w:tcPr>
          <w:p>
            <w:pPr>
              <w:pStyle w:val="11"/>
              <w:spacing w:before="9"/>
              <w:rPr>
                <w:rFonts w:ascii="宋体"/>
                <w:b/>
                <w:sz w:val="20"/>
              </w:rPr>
            </w:pPr>
          </w:p>
          <w:p>
            <w:pPr>
              <w:pStyle w:val="11"/>
              <w:ind w:left="165"/>
              <w:rPr>
                <w:rFonts w:ascii="Times New Roman"/>
                <w:sz w:val="24"/>
              </w:rPr>
            </w:pPr>
            <w:r>
              <w:rPr>
                <w:rFonts w:ascii="Times New Roman"/>
                <w:sz w:val="24"/>
              </w:rPr>
              <w:t>115</w:t>
            </w:r>
          </w:p>
        </w:tc>
        <w:tc>
          <w:tcPr>
            <w:tcW w:w="3458" w:type="dxa"/>
          </w:tcPr>
          <w:p>
            <w:pPr>
              <w:pStyle w:val="11"/>
              <w:spacing w:before="43"/>
              <w:ind w:left="108"/>
              <w:rPr>
                <w:rFonts w:hint="eastAsia" w:ascii="仿宋" w:eastAsia="仿宋"/>
                <w:b/>
                <w:sz w:val="24"/>
              </w:rPr>
            </w:pPr>
            <w:r>
              <w:rPr>
                <w:rFonts w:hint="eastAsia" w:ascii="仿宋" w:eastAsia="仿宋"/>
                <w:b/>
                <w:sz w:val="24"/>
              </w:rPr>
              <w:t>疟疾本地感染病例数（例）</w:t>
            </w:r>
          </w:p>
        </w:tc>
        <w:tc>
          <w:tcPr>
            <w:tcW w:w="1282" w:type="dxa"/>
          </w:tcPr>
          <w:p>
            <w:pPr>
              <w:pStyle w:val="11"/>
              <w:spacing w:before="59"/>
              <w:ind w:left="89" w:right="73"/>
              <w:jc w:val="center"/>
              <w:rPr>
                <w:rFonts w:ascii="Times New Roman"/>
                <w:sz w:val="24"/>
              </w:rPr>
            </w:pPr>
            <w:r>
              <w:rPr>
                <w:rFonts w:ascii="Times New Roman"/>
                <w:sz w:val="24"/>
              </w:rPr>
              <w:t>40</w:t>
            </w:r>
          </w:p>
        </w:tc>
        <w:tc>
          <w:tcPr>
            <w:tcW w:w="1702" w:type="dxa"/>
            <w:gridSpan w:val="2"/>
          </w:tcPr>
          <w:p>
            <w:pPr>
              <w:pStyle w:val="11"/>
              <w:spacing w:before="43"/>
              <w:ind w:left="553" w:right="539"/>
              <w:jc w:val="center"/>
              <w:rPr>
                <w:rFonts w:ascii="Times New Roman" w:eastAsia="Times New Roman"/>
                <w:sz w:val="15"/>
              </w:rPr>
            </w:pPr>
            <w:r>
              <w:rPr>
                <w:rFonts w:hint="eastAsia" w:ascii="仿宋" w:eastAsia="仿宋"/>
                <w:sz w:val="24"/>
              </w:rPr>
              <w:t>消除</w:t>
            </w:r>
            <w:r>
              <w:rPr>
                <w:rFonts w:ascii="Times New Roman" w:eastAsia="Times New Roman"/>
                <w:position w:val="8"/>
                <w:sz w:val="15"/>
              </w:rPr>
              <w:t>#</w:t>
            </w:r>
          </w:p>
        </w:tc>
        <w:tc>
          <w:tcPr>
            <w:tcW w:w="1050" w:type="dxa"/>
          </w:tcPr>
          <w:p>
            <w:pPr>
              <w:pStyle w:val="11"/>
              <w:spacing w:before="43"/>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62"/>
              <w:ind w:left="108"/>
              <w:rPr>
                <w:sz w:val="21"/>
              </w:rPr>
            </w:pPr>
            <w:r>
              <w:rPr>
                <w:sz w:val="21"/>
              </w:rPr>
              <w:t>说明：是由疟原虫引起的，以按蚊为媒介传播的全球性急性寄生虫传染病。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55"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rPr>
                <w:rFonts w:ascii="宋体"/>
                <w:b/>
                <w:sz w:val="26"/>
              </w:rPr>
            </w:pPr>
          </w:p>
          <w:p>
            <w:pPr>
              <w:pStyle w:val="11"/>
              <w:spacing w:before="8"/>
              <w:rPr>
                <w:rFonts w:ascii="宋体"/>
                <w:b/>
                <w:sz w:val="25"/>
              </w:rPr>
            </w:pPr>
          </w:p>
          <w:p>
            <w:pPr>
              <w:pStyle w:val="11"/>
              <w:ind w:left="165"/>
              <w:rPr>
                <w:rFonts w:ascii="Times New Roman"/>
                <w:sz w:val="24"/>
              </w:rPr>
            </w:pPr>
            <w:r>
              <w:rPr>
                <w:rFonts w:ascii="Times New Roman"/>
                <w:sz w:val="24"/>
              </w:rPr>
              <w:t>116</w:t>
            </w:r>
          </w:p>
        </w:tc>
        <w:tc>
          <w:tcPr>
            <w:tcW w:w="3458" w:type="dxa"/>
          </w:tcPr>
          <w:p>
            <w:pPr>
              <w:pStyle w:val="11"/>
              <w:rPr>
                <w:rFonts w:ascii="宋体"/>
                <w:b/>
                <w:sz w:val="24"/>
              </w:rPr>
            </w:pPr>
          </w:p>
          <w:p>
            <w:pPr>
              <w:pStyle w:val="11"/>
              <w:spacing w:before="8"/>
              <w:rPr>
                <w:rFonts w:ascii="宋体"/>
                <w:b/>
                <w:sz w:val="24"/>
              </w:rPr>
            </w:pPr>
          </w:p>
          <w:p>
            <w:pPr>
              <w:pStyle w:val="11"/>
              <w:ind w:left="108"/>
              <w:rPr>
                <w:rFonts w:hint="eastAsia" w:ascii="仿宋" w:eastAsia="仿宋"/>
                <w:b/>
                <w:sz w:val="24"/>
              </w:rPr>
            </w:pPr>
            <w:r>
              <w:rPr>
                <w:rFonts w:hint="eastAsia" w:ascii="仿宋" w:eastAsia="仿宋"/>
                <w:b/>
                <w:sz w:val="24"/>
              </w:rPr>
              <w:t>血吸虫病防治</w:t>
            </w:r>
          </w:p>
        </w:tc>
        <w:tc>
          <w:tcPr>
            <w:tcW w:w="1282" w:type="dxa"/>
          </w:tcPr>
          <w:p>
            <w:pPr>
              <w:pStyle w:val="11"/>
              <w:rPr>
                <w:rFonts w:ascii="宋体"/>
                <w:b/>
                <w:sz w:val="26"/>
              </w:rPr>
            </w:pPr>
          </w:p>
          <w:p>
            <w:pPr>
              <w:pStyle w:val="11"/>
              <w:spacing w:before="8"/>
              <w:rPr>
                <w:rFonts w:ascii="宋体"/>
                <w:b/>
                <w:sz w:val="22"/>
              </w:rPr>
            </w:pPr>
          </w:p>
          <w:p>
            <w:pPr>
              <w:pStyle w:val="11"/>
              <w:ind w:right="167"/>
              <w:jc w:val="right"/>
              <w:rPr>
                <w:rFonts w:hint="eastAsia" w:ascii="仿宋" w:eastAsia="仿宋"/>
                <w:sz w:val="24"/>
              </w:rPr>
            </w:pPr>
            <w:r>
              <w:rPr>
                <w:rFonts w:ascii="Times New Roman" w:eastAsia="Times New Roman"/>
                <w:w w:val="90"/>
                <w:sz w:val="24"/>
              </w:rPr>
              <w:t xml:space="preserve">3.76 </w:t>
            </w:r>
            <w:r>
              <w:rPr>
                <w:rFonts w:hint="eastAsia" w:ascii="仿宋" w:eastAsia="仿宋"/>
                <w:w w:val="90"/>
                <w:sz w:val="24"/>
              </w:rPr>
              <w:t>万患者</w:t>
            </w:r>
          </w:p>
        </w:tc>
        <w:tc>
          <w:tcPr>
            <w:tcW w:w="851" w:type="dxa"/>
          </w:tcPr>
          <w:p>
            <w:pPr>
              <w:pStyle w:val="11"/>
              <w:spacing w:before="1" w:line="242" w:lineRule="auto"/>
              <w:ind w:left="185" w:right="168"/>
              <w:jc w:val="both"/>
              <w:rPr>
                <w:rFonts w:hint="eastAsia" w:ascii="仿宋" w:eastAsia="仿宋"/>
                <w:sz w:val="24"/>
              </w:rPr>
            </w:pPr>
            <w:r>
              <w:rPr>
                <w:rFonts w:hint="eastAsia" w:ascii="仿宋" w:eastAsia="仿宋"/>
                <w:spacing w:val="-9"/>
                <w:sz w:val="24"/>
              </w:rPr>
              <w:t>有效控制和消除危</w:t>
            </w:r>
          </w:p>
          <w:p>
            <w:pPr>
              <w:pStyle w:val="11"/>
              <w:spacing w:before="2" w:line="290" w:lineRule="exact"/>
              <w:ind w:left="266"/>
              <w:rPr>
                <w:rFonts w:ascii="Times New Roman" w:eastAsia="Times New Roman"/>
                <w:sz w:val="15"/>
              </w:rPr>
            </w:pPr>
            <w:r>
              <w:rPr>
                <w:rFonts w:hint="eastAsia" w:ascii="仿宋" w:eastAsia="仿宋"/>
                <w:position w:val="-7"/>
                <w:sz w:val="24"/>
              </w:rPr>
              <w:t>害</w:t>
            </w:r>
            <w:r>
              <w:rPr>
                <w:rFonts w:ascii="Times New Roman" w:eastAsia="Times New Roman"/>
                <w:sz w:val="15"/>
              </w:rPr>
              <w:t>#</w:t>
            </w:r>
          </w:p>
        </w:tc>
        <w:tc>
          <w:tcPr>
            <w:tcW w:w="851" w:type="dxa"/>
          </w:tcPr>
          <w:p>
            <w:pPr>
              <w:pStyle w:val="11"/>
              <w:rPr>
                <w:rFonts w:ascii="宋体"/>
                <w:b/>
                <w:sz w:val="24"/>
              </w:rPr>
            </w:pPr>
          </w:p>
          <w:p>
            <w:pPr>
              <w:pStyle w:val="11"/>
              <w:spacing w:before="8"/>
              <w:rPr>
                <w:rFonts w:ascii="宋体"/>
                <w:b/>
                <w:sz w:val="24"/>
              </w:rPr>
            </w:pPr>
          </w:p>
          <w:p>
            <w:pPr>
              <w:pStyle w:val="11"/>
              <w:ind w:right="170"/>
              <w:jc w:val="right"/>
              <w:rPr>
                <w:rFonts w:hint="eastAsia" w:ascii="仿宋" w:eastAsia="仿宋"/>
                <w:sz w:val="24"/>
              </w:rPr>
            </w:pPr>
            <w:r>
              <w:rPr>
                <w:rFonts w:hint="eastAsia" w:ascii="仿宋" w:eastAsia="仿宋"/>
                <w:sz w:val="24"/>
              </w:rPr>
              <w:t>消除</w:t>
            </w:r>
          </w:p>
        </w:tc>
        <w:tc>
          <w:tcPr>
            <w:tcW w:w="1050" w:type="dxa"/>
          </w:tcPr>
          <w:p>
            <w:pPr>
              <w:pStyle w:val="11"/>
              <w:rPr>
                <w:rFonts w:ascii="宋体"/>
                <w:b/>
                <w:sz w:val="24"/>
              </w:rPr>
            </w:pPr>
          </w:p>
          <w:p>
            <w:pPr>
              <w:pStyle w:val="11"/>
              <w:spacing w:before="8"/>
              <w:rPr>
                <w:rFonts w:ascii="宋体"/>
                <w:b/>
                <w:sz w:val="24"/>
              </w:rPr>
            </w:pPr>
          </w:p>
          <w:p>
            <w:pPr>
              <w:pStyle w:val="11"/>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62"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line="242" w:lineRule="auto"/>
              <w:ind w:left="108" w:right="89"/>
              <w:jc w:val="both"/>
              <w:rPr>
                <w:rFonts w:ascii="Times New Roman" w:eastAsia="Times New Roman"/>
                <w:sz w:val="21"/>
              </w:rPr>
            </w:pPr>
            <w:r>
              <w:rPr>
                <w:spacing w:val="-2"/>
                <w:sz w:val="21"/>
              </w:rPr>
              <w:t xml:space="preserve">说明：由裂体吸虫属血吸虫引起的一种寄生虫病，主要流行于亚、非、拉美 </w:t>
            </w:r>
            <w:r>
              <w:rPr>
                <w:rFonts w:ascii="Times New Roman" w:eastAsia="Times New Roman"/>
                <w:sz w:val="21"/>
              </w:rPr>
              <w:t xml:space="preserve">73 </w:t>
            </w:r>
            <w:r>
              <w:rPr>
                <w:spacing w:val="-5"/>
                <w:sz w:val="21"/>
              </w:rPr>
              <w:t>个国家。血吸虫病是全球第二大寄生虫病，</w:t>
            </w:r>
            <w:r>
              <w:rPr>
                <w:rFonts w:ascii="Times New Roman" w:eastAsia="Times New Roman"/>
                <w:spacing w:val="-5"/>
                <w:sz w:val="21"/>
              </w:rPr>
              <w:t xml:space="preserve">2017 </w:t>
            </w:r>
            <w:r>
              <w:rPr>
                <w:spacing w:val="-9"/>
                <w:sz w:val="21"/>
              </w:rPr>
              <w:t xml:space="preserve">年感染人数 </w:t>
            </w:r>
            <w:r>
              <w:rPr>
                <w:rFonts w:ascii="Times New Roman" w:eastAsia="Times New Roman"/>
                <w:sz w:val="21"/>
              </w:rPr>
              <w:t xml:space="preserve">2.3 </w:t>
            </w:r>
            <w:r>
              <w:rPr>
                <w:spacing w:val="-5"/>
                <w:sz w:val="21"/>
              </w:rPr>
              <w:t>亿人。有效控制</w:t>
            </w:r>
            <w:r>
              <w:rPr>
                <w:spacing w:val="-10"/>
                <w:w w:val="95"/>
                <w:sz w:val="21"/>
              </w:rPr>
              <w:t xml:space="preserve">和消除血吸虫病危害，即现症晚期血吸虫病人全部得到有效救治，防治措施全面  </w:t>
            </w:r>
            <w:r>
              <w:rPr>
                <w:spacing w:val="-7"/>
                <w:sz w:val="21"/>
              </w:rPr>
              <w:t xml:space="preserve">落实，防控体系得到稳固加强。消除血吸虫病，指达到传播阻断要求后，连续 </w:t>
            </w:r>
            <w:r>
              <w:rPr>
                <w:rFonts w:ascii="Times New Roman" w:eastAsia="Times New Roman"/>
                <w:sz w:val="21"/>
              </w:rPr>
              <w:t>5</w:t>
            </w:r>
          </w:p>
          <w:p>
            <w:pPr>
              <w:pStyle w:val="11"/>
              <w:spacing w:before="1" w:line="253" w:lineRule="exact"/>
              <w:ind w:left="108"/>
              <w:rPr>
                <w:sz w:val="21"/>
              </w:rPr>
            </w:pPr>
            <w:r>
              <w:rPr>
                <w:sz w:val="21"/>
              </w:rPr>
              <w:t>年未发现当地感染的血吸虫病病人、病畜和感染性钉螺。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1" w:hRule="atLeast"/>
        </w:trPr>
        <w:tc>
          <w:tcPr>
            <w:tcW w:w="695" w:type="dxa"/>
            <w:vMerge w:val="continue"/>
            <w:tcBorders>
              <w:top w:val="nil"/>
            </w:tcBorders>
          </w:tcPr>
          <w:p>
            <w:pPr>
              <w:rPr>
                <w:sz w:val="2"/>
                <w:szCs w:val="2"/>
              </w:rPr>
            </w:pPr>
          </w:p>
        </w:tc>
        <w:tc>
          <w:tcPr>
            <w:tcW w:w="693" w:type="dxa"/>
            <w:vMerge w:val="restart"/>
          </w:tcPr>
          <w:p>
            <w:pPr>
              <w:pStyle w:val="11"/>
              <w:spacing w:before="2"/>
              <w:rPr>
                <w:rFonts w:ascii="宋体"/>
                <w:b/>
                <w:sz w:val="35"/>
              </w:rPr>
            </w:pPr>
          </w:p>
          <w:p>
            <w:pPr>
              <w:pStyle w:val="11"/>
              <w:spacing w:before="1"/>
              <w:ind w:left="165"/>
              <w:rPr>
                <w:rFonts w:ascii="Times New Roman"/>
                <w:sz w:val="24"/>
              </w:rPr>
            </w:pPr>
            <w:r>
              <w:rPr>
                <w:rFonts w:ascii="Times New Roman"/>
                <w:sz w:val="24"/>
              </w:rPr>
              <w:t>117</w:t>
            </w:r>
          </w:p>
        </w:tc>
        <w:tc>
          <w:tcPr>
            <w:tcW w:w="3458" w:type="dxa"/>
          </w:tcPr>
          <w:p>
            <w:pPr>
              <w:pStyle w:val="11"/>
              <w:spacing w:before="1"/>
              <w:ind w:left="108"/>
              <w:rPr>
                <w:rFonts w:hint="eastAsia" w:ascii="仿宋" w:eastAsia="仿宋"/>
                <w:b/>
                <w:sz w:val="24"/>
              </w:rPr>
            </w:pPr>
            <w:r>
              <w:rPr>
                <w:rFonts w:hint="eastAsia" w:ascii="仿宋" w:eastAsia="仿宋"/>
                <w:b/>
                <w:sz w:val="24"/>
              </w:rPr>
              <w:t>燃煤污染型氟砷中毒、大骨节</w:t>
            </w:r>
          </w:p>
          <w:p>
            <w:pPr>
              <w:pStyle w:val="11"/>
              <w:spacing w:before="4" w:line="289" w:lineRule="exact"/>
              <w:ind w:left="108"/>
              <w:rPr>
                <w:rFonts w:hint="eastAsia" w:ascii="仿宋" w:eastAsia="仿宋"/>
                <w:b/>
                <w:sz w:val="24"/>
              </w:rPr>
            </w:pPr>
            <w:r>
              <w:rPr>
                <w:rFonts w:hint="eastAsia" w:ascii="仿宋" w:eastAsia="仿宋"/>
                <w:b/>
                <w:sz w:val="24"/>
              </w:rPr>
              <w:t>病和克山病危害</w:t>
            </w:r>
          </w:p>
        </w:tc>
        <w:tc>
          <w:tcPr>
            <w:tcW w:w="1282" w:type="dxa"/>
          </w:tcPr>
          <w:p>
            <w:pPr>
              <w:pStyle w:val="11"/>
              <w:spacing w:before="173"/>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157"/>
              <w:ind w:left="170"/>
              <w:rPr>
                <w:rFonts w:ascii="Times New Roman" w:eastAsia="Times New Roman"/>
                <w:sz w:val="15"/>
              </w:rPr>
            </w:pPr>
            <w:r>
              <w:rPr>
                <w:rFonts w:hint="eastAsia" w:ascii="仿宋" w:eastAsia="仿宋"/>
                <w:w w:val="95"/>
                <w:sz w:val="24"/>
              </w:rPr>
              <w:t>保持基本消除</w:t>
            </w:r>
            <w:r>
              <w:rPr>
                <w:rFonts w:ascii="Times New Roman" w:eastAsia="Times New Roman"/>
                <w:w w:val="95"/>
                <w:position w:val="8"/>
                <w:sz w:val="15"/>
              </w:rPr>
              <w:t>#</w:t>
            </w:r>
          </w:p>
        </w:tc>
        <w:tc>
          <w:tcPr>
            <w:tcW w:w="1050" w:type="dxa"/>
          </w:tcPr>
          <w:p>
            <w:pPr>
              <w:pStyle w:val="11"/>
              <w:spacing w:before="157"/>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ind w:left="108"/>
              <w:rPr>
                <w:sz w:val="21"/>
              </w:rPr>
            </w:pPr>
            <w:r>
              <w:rPr>
                <w:sz w:val="21"/>
              </w:rPr>
              <w:t>说明：保持基本消除燃煤污染型地方性氟砷中毒、大骨节病、克山病危害指全国</w:t>
            </w:r>
          </w:p>
          <w:p>
            <w:pPr>
              <w:pStyle w:val="11"/>
              <w:spacing w:before="2" w:line="253" w:lineRule="exact"/>
              <w:ind w:left="108"/>
              <w:rPr>
                <w:sz w:val="21"/>
              </w:rPr>
            </w:pPr>
            <w:r>
              <w:rPr>
                <w:rFonts w:ascii="Times New Roman" w:eastAsia="Times New Roman"/>
                <w:sz w:val="21"/>
              </w:rPr>
              <w:t>95%</w:t>
            </w:r>
            <w:r>
              <w:rPr>
                <w:sz w:val="21"/>
              </w:rPr>
              <w:t>以上的病区县达到控制或消除水平。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rPr>
                <w:rFonts w:ascii="宋体"/>
                <w:b/>
                <w:sz w:val="26"/>
              </w:rPr>
            </w:pPr>
          </w:p>
          <w:p>
            <w:pPr>
              <w:pStyle w:val="11"/>
              <w:spacing w:before="3"/>
              <w:rPr>
                <w:rFonts w:ascii="宋体"/>
                <w:b/>
                <w:sz w:val="36"/>
              </w:rPr>
            </w:pPr>
          </w:p>
          <w:p>
            <w:pPr>
              <w:pStyle w:val="11"/>
              <w:ind w:left="165"/>
              <w:rPr>
                <w:rFonts w:ascii="Times New Roman"/>
                <w:sz w:val="24"/>
              </w:rPr>
            </w:pPr>
            <w:r>
              <w:rPr>
                <w:rFonts w:ascii="Times New Roman"/>
                <w:sz w:val="24"/>
              </w:rPr>
              <w:t>118</w:t>
            </w:r>
          </w:p>
        </w:tc>
        <w:tc>
          <w:tcPr>
            <w:tcW w:w="3458" w:type="dxa"/>
          </w:tcPr>
          <w:p>
            <w:pPr>
              <w:pStyle w:val="11"/>
              <w:spacing w:before="1"/>
              <w:ind w:left="108"/>
              <w:rPr>
                <w:rFonts w:hint="eastAsia" w:ascii="仿宋" w:eastAsia="仿宋"/>
                <w:b/>
                <w:sz w:val="24"/>
              </w:rPr>
            </w:pPr>
            <w:r>
              <w:rPr>
                <w:rFonts w:hint="eastAsia" w:ascii="仿宋" w:eastAsia="仿宋"/>
                <w:b/>
                <w:sz w:val="24"/>
              </w:rPr>
              <w:t>饮水型氟砷中毒、饮茶型地氟</w:t>
            </w:r>
          </w:p>
          <w:p>
            <w:pPr>
              <w:pStyle w:val="11"/>
              <w:spacing w:before="2" w:line="291" w:lineRule="exact"/>
              <w:ind w:left="108"/>
              <w:rPr>
                <w:rFonts w:hint="eastAsia" w:ascii="仿宋" w:eastAsia="仿宋"/>
                <w:b/>
                <w:sz w:val="24"/>
              </w:rPr>
            </w:pPr>
            <w:r>
              <w:rPr>
                <w:rFonts w:hint="eastAsia" w:ascii="仿宋" w:eastAsia="仿宋"/>
                <w:b/>
                <w:sz w:val="24"/>
              </w:rPr>
              <w:t>病和水源性高碘危害</w:t>
            </w:r>
          </w:p>
        </w:tc>
        <w:tc>
          <w:tcPr>
            <w:tcW w:w="1282" w:type="dxa"/>
          </w:tcPr>
          <w:p>
            <w:pPr>
              <w:pStyle w:val="11"/>
              <w:spacing w:before="171"/>
              <w:ind w:left="16"/>
              <w:jc w:val="center"/>
              <w:rPr>
                <w:rFonts w:ascii="Times New Roman" w:hAnsi="Times New Roman"/>
                <w:sz w:val="24"/>
              </w:rPr>
            </w:pPr>
            <w:r>
              <w:rPr>
                <w:rFonts w:ascii="Times New Roman" w:hAnsi="Times New Roman"/>
                <w:sz w:val="24"/>
              </w:rPr>
              <w:t>—</w:t>
            </w:r>
          </w:p>
        </w:tc>
        <w:tc>
          <w:tcPr>
            <w:tcW w:w="1702" w:type="dxa"/>
            <w:gridSpan w:val="2"/>
          </w:tcPr>
          <w:p>
            <w:pPr>
              <w:pStyle w:val="11"/>
              <w:spacing w:before="155"/>
              <w:ind w:left="331"/>
              <w:rPr>
                <w:rFonts w:ascii="Times New Roman" w:eastAsia="Times New Roman"/>
                <w:sz w:val="15"/>
              </w:rPr>
            </w:pPr>
            <w:r>
              <w:rPr>
                <w:rFonts w:hint="eastAsia" w:ascii="仿宋" w:eastAsia="仿宋"/>
                <w:sz w:val="24"/>
              </w:rPr>
              <w:t>有效控制</w:t>
            </w:r>
            <w:r>
              <w:rPr>
                <w:rFonts w:ascii="Times New Roman" w:eastAsia="Times New Roman"/>
                <w:position w:val="8"/>
                <w:sz w:val="15"/>
              </w:rPr>
              <w:t>#</w:t>
            </w:r>
          </w:p>
        </w:tc>
        <w:tc>
          <w:tcPr>
            <w:tcW w:w="1050" w:type="dxa"/>
          </w:tcPr>
          <w:p>
            <w:pPr>
              <w:pStyle w:val="11"/>
              <w:spacing w:before="155"/>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06"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42" w:lineRule="auto"/>
              <w:ind w:left="108" w:right="-15"/>
              <w:rPr>
                <w:sz w:val="21"/>
              </w:rPr>
            </w:pPr>
            <w:r>
              <w:rPr>
                <w:spacing w:val="-9"/>
                <w:sz w:val="21"/>
              </w:rPr>
              <w:t xml:space="preserve">说明：有效控制饮水型地方性氟砷中毒危害是指 </w:t>
            </w:r>
            <w:r>
              <w:rPr>
                <w:rFonts w:ascii="Times New Roman" w:eastAsia="Times New Roman"/>
                <w:sz w:val="21"/>
              </w:rPr>
              <w:t>90%</w:t>
            </w:r>
            <w:r>
              <w:rPr>
                <w:spacing w:val="-9"/>
                <w:sz w:val="21"/>
              </w:rPr>
              <w:t>以上氟</w:t>
            </w:r>
            <w:r>
              <w:rPr>
                <w:sz w:val="21"/>
              </w:rPr>
              <w:t>（砷</w:t>
            </w:r>
            <w:r>
              <w:rPr>
                <w:spacing w:val="-29"/>
                <w:sz w:val="21"/>
              </w:rPr>
              <w:t>）</w:t>
            </w:r>
            <w:r>
              <w:rPr>
                <w:sz w:val="21"/>
              </w:rPr>
              <w:t>超标村饮用水</w:t>
            </w:r>
            <w:r>
              <w:rPr>
                <w:spacing w:val="-46"/>
                <w:w w:val="95"/>
                <w:sz w:val="21"/>
              </w:rPr>
              <w:t>氟</w:t>
            </w:r>
            <w:r>
              <w:rPr>
                <w:w w:val="95"/>
                <w:sz w:val="21"/>
              </w:rPr>
              <w:t>（砷</w:t>
            </w:r>
            <w:r>
              <w:rPr>
                <w:spacing w:val="-46"/>
                <w:w w:val="95"/>
                <w:sz w:val="21"/>
              </w:rPr>
              <w:t>）</w:t>
            </w:r>
            <w:r>
              <w:rPr>
                <w:spacing w:val="-2"/>
                <w:w w:val="95"/>
                <w:sz w:val="21"/>
              </w:rPr>
              <w:t>含量符合国家卫生标准，</w:t>
            </w:r>
            <w:r>
              <w:rPr>
                <w:rFonts w:ascii="Times New Roman" w:eastAsia="Times New Roman"/>
                <w:spacing w:val="-12"/>
                <w:w w:val="95"/>
                <w:sz w:val="21"/>
              </w:rPr>
              <w:t>70%</w:t>
            </w:r>
            <w:r>
              <w:rPr>
                <w:w w:val="95"/>
                <w:sz w:val="21"/>
              </w:rPr>
              <w:t xml:space="preserve">以上的病区县饮水型氟中毒达到控制水平， </w:t>
            </w:r>
            <w:r>
              <w:rPr>
                <w:rFonts w:ascii="Times New Roman" w:eastAsia="Times New Roman"/>
                <w:sz w:val="21"/>
              </w:rPr>
              <w:t>90%</w:t>
            </w:r>
            <w:r>
              <w:rPr>
                <w:spacing w:val="-3"/>
                <w:sz w:val="21"/>
              </w:rPr>
              <w:t>以上的病区县饮水型砷中毒达到消除水平。有效控制饮茶型地氟病危害是指</w:t>
            </w:r>
            <w:r>
              <w:rPr>
                <w:spacing w:val="-11"/>
                <w:sz w:val="21"/>
              </w:rPr>
              <w:t xml:space="preserve">在内蒙古、四川、西藏、甘肃、青海、宁夏、新疆等 </w:t>
            </w:r>
            <w:r>
              <w:rPr>
                <w:rFonts w:ascii="Times New Roman" w:eastAsia="Times New Roman"/>
                <w:sz w:val="21"/>
              </w:rPr>
              <w:t>7</w:t>
            </w:r>
            <w:r>
              <w:rPr>
                <w:rFonts w:ascii="Times New Roman" w:eastAsia="Times New Roman"/>
                <w:spacing w:val="-4"/>
                <w:sz w:val="21"/>
              </w:rPr>
              <w:t xml:space="preserve"> </w:t>
            </w:r>
            <w:r>
              <w:rPr>
                <w:spacing w:val="-4"/>
                <w:sz w:val="21"/>
              </w:rPr>
              <w:t>个省</w:t>
            </w:r>
            <w:r>
              <w:rPr>
                <w:sz w:val="21"/>
              </w:rPr>
              <w:t>（自治区</w:t>
            </w:r>
            <w:r>
              <w:rPr>
                <w:spacing w:val="-8"/>
                <w:sz w:val="21"/>
              </w:rPr>
              <w:t>）</w:t>
            </w:r>
            <w:r>
              <w:rPr>
                <w:sz w:val="21"/>
              </w:rPr>
              <w:t>大力推广</w:t>
            </w:r>
            <w:r>
              <w:rPr>
                <w:spacing w:val="-7"/>
                <w:sz w:val="21"/>
              </w:rPr>
              <w:t>氟含量合格的砖茶，逐步降低人群砖茶氟摄入水平。有效控制水源性高碘危害是</w:t>
            </w:r>
            <w:r>
              <w:rPr>
                <w:spacing w:val="-3"/>
                <w:sz w:val="21"/>
              </w:rPr>
              <w:t xml:space="preserve">指水源性高碘病区和地区 </w:t>
            </w:r>
            <w:r>
              <w:rPr>
                <w:rFonts w:ascii="Times New Roman" w:eastAsia="Times New Roman"/>
                <w:sz w:val="21"/>
              </w:rPr>
              <w:t>95%</w:t>
            </w:r>
            <w:r>
              <w:rPr>
                <w:spacing w:val="-2"/>
                <w:sz w:val="21"/>
              </w:rPr>
              <w:t xml:space="preserve">以上的县居民户无碘盐食用率达到 </w:t>
            </w:r>
            <w:r>
              <w:rPr>
                <w:rFonts w:ascii="Times New Roman" w:eastAsia="Times New Roman"/>
                <w:sz w:val="21"/>
              </w:rPr>
              <w:t>90%</w:t>
            </w:r>
            <w:r>
              <w:rPr>
                <w:spacing w:val="3"/>
                <w:sz w:val="21"/>
              </w:rPr>
              <w:t>以上，水</w:t>
            </w:r>
          </w:p>
          <w:p>
            <w:pPr>
              <w:pStyle w:val="11"/>
              <w:spacing w:before="4" w:line="251" w:lineRule="exact"/>
              <w:ind w:left="108"/>
              <w:rPr>
                <w:sz w:val="21"/>
              </w:rPr>
            </w:pPr>
            <w:r>
              <w:rPr>
                <w:sz w:val="21"/>
              </w:rPr>
              <w:t>源性高碘病区落实改水措施。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4"/>
              <w:ind w:left="107"/>
              <w:rPr>
                <w:rFonts w:hint="eastAsia" w:ascii="黑体" w:eastAsia="黑体"/>
                <w:sz w:val="24"/>
              </w:rPr>
            </w:pPr>
            <w:r>
              <w:rPr>
                <w:rFonts w:hint="eastAsia" w:ascii="黑体" w:eastAsia="黑体"/>
                <w:sz w:val="24"/>
              </w:rPr>
              <w:t>个人和社会倡导性指标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tcPr>
          <w:p>
            <w:pPr>
              <w:pStyle w:val="11"/>
              <w:spacing w:before="58"/>
              <w:ind w:left="145" w:right="133"/>
              <w:jc w:val="center"/>
              <w:rPr>
                <w:rFonts w:ascii="Times New Roman"/>
                <w:sz w:val="24"/>
              </w:rPr>
            </w:pPr>
            <w:r>
              <w:rPr>
                <w:rFonts w:ascii="Times New Roman"/>
                <w:sz w:val="24"/>
              </w:rPr>
              <w:t>119</w:t>
            </w:r>
          </w:p>
        </w:tc>
        <w:tc>
          <w:tcPr>
            <w:tcW w:w="6442" w:type="dxa"/>
            <w:gridSpan w:val="4"/>
          </w:tcPr>
          <w:p>
            <w:pPr>
              <w:pStyle w:val="11"/>
              <w:spacing w:before="42"/>
              <w:ind w:left="108"/>
              <w:rPr>
                <w:rFonts w:hint="eastAsia" w:ascii="仿宋" w:eastAsia="仿宋"/>
                <w:b/>
                <w:sz w:val="24"/>
              </w:rPr>
            </w:pPr>
            <w:r>
              <w:rPr>
                <w:rFonts w:hint="eastAsia" w:ascii="仿宋" w:eastAsia="仿宋"/>
                <w:b/>
                <w:sz w:val="24"/>
              </w:rPr>
              <w:t>提倡负责任和安全的性行为，鼓励使用安全套</w:t>
            </w:r>
          </w:p>
        </w:tc>
        <w:tc>
          <w:tcPr>
            <w:tcW w:w="1050" w:type="dxa"/>
          </w:tcPr>
          <w:p>
            <w:pPr>
              <w:pStyle w:val="11"/>
              <w:spacing w:before="42"/>
              <w:ind w:left="107"/>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693" w:type="dxa"/>
          </w:tcPr>
          <w:p>
            <w:pPr>
              <w:pStyle w:val="11"/>
              <w:spacing w:before="59"/>
              <w:ind w:left="145" w:right="133"/>
              <w:jc w:val="center"/>
              <w:rPr>
                <w:rFonts w:ascii="Times New Roman"/>
                <w:sz w:val="24"/>
              </w:rPr>
            </w:pPr>
            <w:r>
              <w:rPr>
                <w:rFonts w:ascii="Times New Roman"/>
                <w:sz w:val="24"/>
              </w:rPr>
              <w:t>120</w:t>
            </w:r>
          </w:p>
        </w:tc>
        <w:tc>
          <w:tcPr>
            <w:tcW w:w="6442" w:type="dxa"/>
            <w:gridSpan w:val="4"/>
          </w:tcPr>
          <w:p>
            <w:pPr>
              <w:pStyle w:val="11"/>
              <w:spacing w:before="43"/>
              <w:ind w:left="108"/>
              <w:rPr>
                <w:rFonts w:hint="eastAsia" w:ascii="仿宋" w:eastAsia="仿宋"/>
                <w:b/>
                <w:sz w:val="24"/>
              </w:rPr>
            </w:pPr>
            <w:r>
              <w:rPr>
                <w:rFonts w:hint="eastAsia" w:ascii="仿宋" w:eastAsia="仿宋"/>
                <w:b/>
                <w:sz w:val="24"/>
              </w:rPr>
              <w:t>咳嗽、打喷嚏时用胳膊或纸巾掩口鼻，正确、文明吐痰</w:t>
            </w:r>
          </w:p>
        </w:tc>
        <w:tc>
          <w:tcPr>
            <w:tcW w:w="1050" w:type="dxa"/>
          </w:tcPr>
          <w:p>
            <w:pPr>
              <w:pStyle w:val="11"/>
              <w:spacing w:before="43"/>
              <w:ind w:left="107"/>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trPr>
        <w:tc>
          <w:tcPr>
            <w:tcW w:w="695" w:type="dxa"/>
            <w:vMerge w:val="continue"/>
            <w:tcBorders>
              <w:top w:val="nil"/>
            </w:tcBorders>
          </w:tcPr>
          <w:p>
            <w:pPr>
              <w:rPr>
                <w:sz w:val="2"/>
                <w:szCs w:val="2"/>
              </w:rPr>
            </w:pPr>
          </w:p>
        </w:tc>
        <w:tc>
          <w:tcPr>
            <w:tcW w:w="693" w:type="dxa"/>
          </w:tcPr>
          <w:p>
            <w:pPr>
              <w:pStyle w:val="11"/>
              <w:spacing w:before="60"/>
              <w:ind w:left="145" w:right="133"/>
              <w:jc w:val="center"/>
              <w:rPr>
                <w:rFonts w:ascii="Times New Roman"/>
                <w:sz w:val="24"/>
              </w:rPr>
            </w:pPr>
            <w:r>
              <w:rPr>
                <w:rFonts w:ascii="Times New Roman"/>
                <w:sz w:val="24"/>
              </w:rPr>
              <w:t>121</w:t>
            </w:r>
          </w:p>
        </w:tc>
        <w:tc>
          <w:tcPr>
            <w:tcW w:w="6442" w:type="dxa"/>
            <w:gridSpan w:val="4"/>
          </w:tcPr>
          <w:p>
            <w:pPr>
              <w:pStyle w:val="11"/>
              <w:spacing w:before="44"/>
              <w:ind w:left="108"/>
              <w:rPr>
                <w:rFonts w:hint="eastAsia" w:ascii="仿宋" w:eastAsia="仿宋"/>
                <w:b/>
                <w:sz w:val="24"/>
              </w:rPr>
            </w:pPr>
            <w:r>
              <w:rPr>
                <w:rFonts w:hint="eastAsia" w:ascii="仿宋" w:eastAsia="仿宋"/>
                <w:b/>
                <w:sz w:val="24"/>
              </w:rPr>
              <w:t>充分认识疫苗对预防疾病的重要作用，积极接种疫苗</w:t>
            </w:r>
          </w:p>
        </w:tc>
        <w:tc>
          <w:tcPr>
            <w:tcW w:w="1050" w:type="dxa"/>
          </w:tcPr>
          <w:p>
            <w:pPr>
              <w:pStyle w:val="11"/>
              <w:spacing w:before="44"/>
              <w:ind w:left="107"/>
              <w:rPr>
                <w:rFonts w:hint="eastAsia" w:ascii="仿宋" w:eastAsia="仿宋"/>
                <w:sz w:val="24"/>
              </w:rPr>
            </w:pPr>
            <w:r>
              <w:rPr>
                <w:rFonts w:hint="eastAsia" w:ascii="仿宋" w:eastAsia="仿宋"/>
                <w:sz w:val="24"/>
              </w:rPr>
              <w:t>倡导性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695" w:type="dxa"/>
            <w:vMerge w:val="continue"/>
            <w:tcBorders>
              <w:top w:val="nil"/>
            </w:tcBorders>
          </w:tcPr>
          <w:p>
            <w:pPr>
              <w:rPr>
                <w:sz w:val="2"/>
                <w:szCs w:val="2"/>
              </w:rPr>
            </w:pPr>
          </w:p>
        </w:tc>
        <w:tc>
          <w:tcPr>
            <w:tcW w:w="8185" w:type="dxa"/>
            <w:gridSpan w:val="6"/>
          </w:tcPr>
          <w:p>
            <w:pPr>
              <w:pStyle w:val="11"/>
              <w:spacing w:before="42"/>
              <w:ind w:left="107"/>
              <w:rPr>
                <w:rFonts w:hint="eastAsia" w:ascii="黑体" w:eastAsia="黑体"/>
                <w:sz w:val="24"/>
              </w:rPr>
            </w:pPr>
            <w:r>
              <w:rPr>
                <w:rFonts w:hint="eastAsia" w:ascii="黑体" w:eastAsia="黑体"/>
                <w:sz w:val="24"/>
              </w:rPr>
              <w:t>政府工作指标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211"/>
              <w:ind w:left="165"/>
              <w:rPr>
                <w:rFonts w:ascii="Times New Roman"/>
                <w:sz w:val="24"/>
              </w:rPr>
            </w:pPr>
            <w:r>
              <w:rPr>
                <w:rFonts w:ascii="Times New Roman"/>
                <w:sz w:val="24"/>
              </w:rPr>
              <w:t>122</w:t>
            </w:r>
          </w:p>
        </w:tc>
        <w:tc>
          <w:tcPr>
            <w:tcW w:w="3458" w:type="dxa"/>
          </w:tcPr>
          <w:p>
            <w:pPr>
              <w:pStyle w:val="11"/>
              <w:ind w:left="108"/>
              <w:rPr>
                <w:rFonts w:hint="eastAsia" w:ascii="仿宋" w:eastAsia="仿宋"/>
                <w:b/>
                <w:sz w:val="24"/>
              </w:rPr>
            </w:pPr>
            <w:r>
              <w:rPr>
                <w:rFonts w:hint="eastAsia" w:ascii="仿宋" w:eastAsia="仿宋"/>
                <w:b/>
                <w:spacing w:val="-15"/>
                <w:sz w:val="24"/>
              </w:rPr>
              <w:t>以乡</w:t>
            </w:r>
            <w:r>
              <w:rPr>
                <w:rFonts w:hint="eastAsia" w:ascii="仿宋" w:eastAsia="仿宋"/>
                <w:b/>
                <w:sz w:val="24"/>
              </w:rPr>
              <w:t>（</w:t>
            </w:r>
            <w:r>
              <w:rPr>
                <w:rFonts w:hint="eastAsia" w:ascii="仿宋" w:eastAsia="仿宋"/>
                <w:b/>
                <w:spacing w:val="-8"/>
                <w:sz w:val="24"/>
              </w:rPr>
              <w:t>镇、街道</w:t>
            </w:r>
            <w:r>
              <w:rPr>
                <w:rFonts w:hint="eastAsia" w:ascii="仿宋" w:eastAsia="仿宋"/>
                <w:b/>
                <w:spacing w:val="-29"/>
                <w:sz w:val="24"/>
              </w:rPr>
              <w:t>）</w:t>
            </w:r>
            <w:r>
              <w:rPr>
                <w:rFonts w:hint="eastAsia" w:ascii="仿宋" w:eastAsia="仿宋"/>
                <w:b/>
                <w:sz w:val="24"/>
              </w:rPr>
              <w:t>为单位适龄儿</w:t>
            </w:r>
          </w:p>
          <w:p>
            <w:pPr>
              <w:pStyle w:val="11"/>
              <w:spacing w:before="4" w:line="290" w:lineRule="exact"/>
              <w:ind w:left="108"/>
              <w:rPr>
                <w:rFonts w:hint="eastAsia" w:ascii="仿宋" w:eastAsia="仿宋"/>
                <w:b/>
                <w:sz w:val="24"/>
              </w:rPr>
            </w:pPr>
            <w:r>
              <w:rPr>
                <w:rFonts w:hint="eastAsia" w:ascii="仿宋" w:eastAsia="仿宋"/>
                <w:b/>
                <w:w w:val="95"/>
                <w:sz w:val="24"/>
              </w:rPr>
              <w:t>童免疫规划疫苗接种率（</w:t>
            </w:r>
            <w:r>
              <w:rPr>
                <w:rFonts w:ascii="Times New Roman" w:eastAsia="Times New Roman"/>
                <w:b/>
                <w:w w:val="95"/>
                <w:sz w:val="24"/>
              </w:rPr>
              <w:t>%</w:t>
            </w:r>
            <w:r>
              <w:rPr>
                <w:rFonts w:hint="eastAsia" w:ascii="仿宋" w:eastAsia="仿宋"/>
                <w:b/>
                <w:w w:val="95"/>
                <w:sz w:val="24"/>
              </w:rPr>
              <w:t>）</w:t>
            </w:r>
          </w:p>
        </w:tc>
        <w:tc>
          <w:tcPr>
            <w:tcW w:w="1282" w:type="dxa"/>
          </w:tcPr>
          <w:p>
            <w:pPr>
              <w:pStyle w:val="11"/>
              <w:spacing w:before="172"/>
              <w:ind w:left="89" w:right="73"/>
              <w:jc w:val="center"/>
              <w:rPr>
                <w:rFonts w:ascii="Times New Roman"/>
                <w:sz w:val="24"/>
              </w:rPr>
            </w:pPr>
            <w:r>
              <w:rPr>
                <w:rFonts w:ascii="Times New Roman"/>
                <w:sz w:val="24"/>
              </w:rPr>
              <w:t>90</w:t>
            </w:r>
          </w:p>
        </w:tc>
        <w:tc>
          <w:tcPr>
            <w:tcW w:w="1702" w:type="dxa"/>
            <w:gridSpan w:val="2"/>
          </w:tcPr>
          <w:p>
            <w:pPr>
              <w:pStyle w:val="11"/>
              <w:spacing w:before="156"/>
              <w:ind w:left="551" w:right="539"/>
              <w:jc w:val="center"/>
              <w:rPr>
                <w:rFonts w:ascii="Times New Roman" w:eastAsia="Times New Roman"/>
                <w:sz w:val="24"/>
              </w:rPr>
            </w:pPr>
            <w:r>
              <w:rPr>
                <w:rFonts w:hint="eastAsia" w:ascii="仿宋" w:eastAsia="仿宋"/>
                <w:sz w:val="24"/>
              </w:rPr>
              <w:t>＞</w:t>
            </w:r>
            <w:r>
              <w:rPr>
                <w:rFonts w:ascii="Times New Roman" w:eastAsia="Times New Roman"/>
                <w:sz w:val="24"/>
              </w:rPr>
              <w:t>90</w:t>
            </w:r>
          </w:p>
        </w:tc>
        <w:tc>
          <w:tcPr>
            <w:tcW w:w="1050" w:type="dxa"/>
          </w:tcPr>
          <w:p>
            <w:pPr>
              <w:pStyle w:val="11"/>
              <w:spacing w:before="156"/>
              <w:ind w:left="165"/>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30"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94" w:line="242" w:lineRule="auto"/>
              <w:ind w:left="108" w:right="857"/>
              <w:rPr>
                <w:sz w:val="21"/>
              </w:rPr>
            </w:pPr>
            <w:r>
              <w:rPr>
                <w:w w:val="95"/>
                <w:sz w:val="21"/>
              </w:rPr>
              <w:t xml:space="preserve">说明：以乡（镇、街道）为单位，免疫规划内适龄儿童的疫苗接种率。  </w:t>
            </w:r>
            <w:r>
              <w:rPr>
                <w:sz w:val="21"/>
              </w:rPr>
              <w:t>计算方法：免疫规划内接种疫苗适龄儿童数</w:t>
            </w:r>
            <w:r>
              <w:rPr>
                <w:rFonts w:ascii="Times New Roman" w:hAnsi="Times New Roman" w:eastAsia="Times New Roman"/>
                <w:sz w:val="21"/>
              </w:rPr>
              <w:t>/</w:t>
            </w:r>
            <w:r>
              <w:rPr>
                <w:sz w:val="21"/>
              </w:rPr>
              <w:t>适龄儿童数</w:t>
            </w:r>
            <w:r>
              <w:rPr>
                <w:rFonts w:ascii="Times New Roman" w:hAnsi="Times New Roman" w:eastAsia="Times New Roman"/>
                <w:sz w:val="21"/>
              </w:rPr>
              <w:t>×100%</w:t>
            </w:r>
            <w:r>
              <w:rPr>
                <w:sz w:val="21"/>
              </w:rPr>
              <w:t>。</w:t>
            </w:r>
          </w:p>
        </w:tc>
      </w:tr>
    </w:tbl>
    <w:p>
      <w:pPr>
        <w:spacing w:after="0" w:line="242" w:lineRule="auto"/>
        <w:rPr>
          <w:sz w:val="21"/>
        </w:rPr>
        <w:sectPr>
          <w:footerReference r:id="rId5" w:type="default"/>
          <w:pgSz w:w="11910" w:h="16840"/>
          <w:pgMar w:top="1420" w:right="1140" w:bottom="1300" w:left="1400" w:header="0" w:footer="1120" w:gutter="0"/>
          <w:pgNumType w:start="20"/>
        </w:sectPr>
      </w:pPr>
    </w:p>
    <w:tbl>
      <w:tblPr>
        <w:tblStyle w:val="7"/>
        <w:tblW w:w="888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5"/>
        <w:gridCol w:w="693"/>
        <w:gridCol w:w="3458"/>
        <w:gridCol w:w="1282"/>
        <w:gridCol w:w="851"/>
        <w:gridCol w:w="851"/>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7" w:hRule="atLeast"/>
        </w:trPr>
        <w:tc>
          <w:tcPr>
            <w:tcW w:w="695" w:type="dxa"/>
          </w:tcPr>
          <w:p>
            <w:pPr>
              <w:pStyle w:val="11"/>
              <w:spacing w:before="140" w:line="242" w:lineRule="auto"/>
              <w:ind w:left="226" w:right="211"/>
              <w:rPr>
                <w:rFonts w:hint="eastAsia" w:ascii="黑体" w:eastAsia="黑体"/>
                <w:sz w:val="24"/>
              </w:rPr>
            </w:pPr>
            <w:r>
              <w:rPr>
                <w:rFonts w:hint="eastAsia" w:ascii="黑体" w:eastAsia="黑体"/>
                <w:sz w:val="24"/>
              </w:rPr>
              <w:t>领域</w:t>
            </w:r>
          </w:p>
        </w:tc>
        <w:tc>
          <w:tcPr>
            <w:tcW w:w="693" w:type="dxa"/>
          </w:tcPr>
          <w:p>
            <w:pPr>
              <w:pStyle w:val="11"/>
              <w:spacing w:before="140" w:line="242" w:lineRule="auto"/>
              <w:ind w:left="225" w:right="210"/>
              <w:rPr>
                <w:rFonts w:hint="eastAsia" w:ascii="黑体" w:eastAsia="黑体"/>
                <w:sz w:val="24"/>
              </w:rPr>
            </w:pPr>
            <w:r>
              <w:rPr>
                <w:rFonts w:hint="eastAsia" w:ascii="黑体" w:eastAsia="黑体"/>
                <w:sz w:val="24"/>
              </w:rPr>
              <w:t>序号</w:t>
            </w:r>
          </w:p>
        </w:tc>
        <w:tc>
          <w:tcPr>
            <w:tcW w:w="3458" w:type="dxa"/>
          </w:tcPr>
          <w:p>
            <w:pPr>
              <w:pStyle w:val="11"/>
              <w:spacing w:before="1"/>
              <w:rPr>
                <w:rFonts w:ascii="宋体"/>
                <w:b/>
                <w:sz w:val="23"/>
              </w:rPr>
            </w:pPr>
          </w:p>
          <w:p>
            <w:pPr>
              <w:pStyle w:val="11"/>
              <w:ind w:left="1468" w:right="1455"/>
              <w:jc w:val="center"/>
              <w:rPr>
                <w:rFonts w:hint="eastAsia" w:ascii="黑体" w:eastAsia="黑体"/>
                <w:sz w:val="24"/>
              </w:rPr>
            </w:pPr>
            <w:r>
              <w:rPr>
                <w:rFonts w:hint="eastAsia" w:ascii="黑体" w:eastAsia="黑体"/>
                <w:sz w:val="24"/>
              </w:rPr>
              <w:t>指标</w:t>
            </w:r>
          </w:p>
        </w:tc>
        <w:tc>
          <w:tcPr>
            <w:tcW w:w="1282" w:type="dxa"/>
          </w:tcPr>
          <w:p>
            <w:pPr>
              <w:pStyle w:val="11"/>
              <w:spacing w:before="1"/>
              <w:rPr>
                <w:rFonts w:ascii="宋体"/>
                <w:b/>
                <w:sz w:val="23"/>
              </w:rPr>
            </w:pPr>
          </w:p>
          <w:p>
            <w:pPr>
              <w:pStyle w:val="11"/>
              <w:ind w:left="89" w:right="73"/>
              <w:jc w:val="center"/>
              <w:rPr>
                <w:rFonts w:hint="eastAsia" w:ascii="黑体" w:eastAsia="黑体"/>
                <w:sz w:val="24"/>
              </w:rPr>
            </w:pPr>
            <w:r>
              <w:rPr>
                <w:rFonts w:hint="eastAsia" w:ascii="黑体" w:eastAsia="黑体"/>
                <w:sz w:val="24"/>
              </w:rPr>
              <w:t>基期水平</w:t>
            </w:r>
          </w:p>
        </w:tc>
        <w:tc>
          <w:tcPr>
            <w:tcW w:w="851" w:type="dxa"/>
          </w:tcPr>
          <w:p>
            <w:pPr>
              <w:pStyle w:val="11"/>
              <w:ind w:left="185"/>
              <w:rPr>
                <w:rFonts w:ascii="Times New Roman"/>
                <w:sz w:val="24"/>
              </w:rPr>
            </w:pPr>
            <w:r>
              <w:rPr>
                <w:rFonts w:ascii="Times New Roman"/>
                <w:sz w:val="24"/>
              </w:rPr>
              <w:t>2022</w:t>
            </w:r>
          </w:p>
          <w:p>
            <w:pPr>
              <w:pStyle w:val="11"/>
              <w:ind w:left="185"/>
              <w:rPr>
                <w:rFonts w:hint="eastAsia" w:ascii="黑体" w:eastAsia="黑体"/>
                <w:sz w:val="24"/>
              </w:rPr>
            </w:pPr>
            <w:r>
              <w:rPr>
                <w:rFonts w:hint="eastAsia" w:ascii="黑体" w:eastAsia="黑体"/>
                <w:sz w:val="24"/>
              </w:rPr>
              <w:t>年目</w:t>
            </w:r>
          </w:p>
          <w:p>
            <w:pPr>
              <w:pStyle w:val="11"/>
              <w:spacing w:before="5" w:line="289" w:lineRule="exact"/>
              <w:ind w:left="185"/>
              <w:rPr>
                <w:rFonts w:hint="eastAsia" w:ascii="黑体" w:eastAsia="黑体"/>
                <w:sz w:val="24"/>
              </w:rPr>
            </w:pPr>
            <w:r>
              <w:rPr>
                <w:rFonts w:hint="eastAsia" w:ascii="黑体" w:eastAsia="黑体"/>
                <w:sz w:val="24"/>
              </w:rPr>
              <w:t>标值</w:t>
            </w:r>
          </w:p>
        </w:tc>
        <w:tc>
          <w:tcPr>
            <w:tcW w:w="851" w:type="dxa"/>
          </w:tcPr>
          <w:p>
            <w:pPr>
              <w:pStyle w:val="11"/>
              <w:ind w:left="183"/>
              <w:rPr>
                <w:rFonts w:ascii="Times New Roman"/>
                <w:sz w:val="24"/>
              </w:rPr>
            </w:pPr>
            <w:r>
              <w:rPr>
                <w:rFonts w:ascii="Times New Roman"/>
                <w:sz w:val="24"/>
              </w:rPr>
              <w:t>2030</w:t>
            </w:r>
          </w:p>
          <w:p>
            <w:pPr>
              <w:pStyle w:val="11"/>
              <w:ind w:left="183"/>
              <w:rPr>
                <w:rFonts w:hint="eastAsia" w:ascii="黑体" w:eastAsia="黑体"/>
                <w:sz w:val="24"/>
              </w:rPr>
            </w:pPr>
            <w:r>
              <w:rPr>
                <w:rFonts w:hint="eastAsia" w:ascii="黑体" w:eastAsia="黑体"/>
                <w:sz w:val="24"/>
              </w:rPr>
              <w:t>年目</w:t>
            </w:r>
          </w:p>
          <w:p>
            <w:pPr>
              <w:pStyle w:val="11"/>
              <w:spacing w:before="5" w:line="289" w:lineRule="exact"/>
              <w:ind w:left="183"/>
              <w:rPr>
                <w:rFonts w:hint="eastAsia" w:ascii="黑体" w:eastAsia="黑体"/>
                <w:sz w:val="24"/>
              </w:rPr>
            </w:pPr>
            <w:r>
              <w:rPr>
                <w:rFonts w:hint="eastAsia" w:ascii="黑体" w:eastAsia="黑体"/>
                <w:sz w:val="24"/>
              </w:rPr>
              <w:t>标值</w:t>
            </w:r>
          </w:p>
        </w:tc>
        <w:tc>
          <w:tcPr>
            <w:tcW w:w="1050" w:type="dxa"/>
          </w:tcPr>
          <w:p>
            <w:pPr>
              <w:pStyle w:val="11"/>
              <w:spacing w:before="140" w:line="242" w:lineRule="auto"/>
              <w:ind w:left="285" w:right="267"/>
              <w:rPr>
                <w:rFonts w:hint="eastAsia" w:ascii="黑体" w:eastAsia="黑体"/>
                <w:sz w:val="24"/>
              </w:rPr>
            </w:pPr>
            <w:r>
              <w:rPr>
                <w:rFonts w:hint="eastAsia" w:ascii="黑体" w:eastAsia="黑体"/>
                <w:sz w:val="24"/>
              </w:rPr>
              <w:t>指标性质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7" w:hRule="atLeast"/>
        </w:trPr>
        <w:tc>
          <w:tcPr>
            <w:tcW w:w="695" w:type="dxa"/>
            <w:vMerge w:val="restart"/>
          </w:tcPr>
          <w:p>
            <w:pPr>
              <w:pStyle w:val="11"/>
              <w:rPr>
                <w:rFonts w:ascii="宋体"/>
                <w:b/>
                <w:sz w:val="24"/>
              </w:rPr>
            </w:pPr>
          </w:p>
          <w:p>
            <w:pPr>
              <w:pStyle w:val="11"/>
              <w:rPr>
                <w:rFonts w:ascii="宋体"/>
                <w:b/>
                <w:sz w:val="24"/>
              </w:rPr>
            </w:pPr>
          </w:p>
          <w:p>
            <w:pPr>
              <w:pStyle w:val="11"/>
              <w:spacing w:before="203" w:line="242" w:lineRule="auto"/>
              <w:ind w:left="226" w:right="211"/>
              <w:jc w:val="both"/>
              <w:rPr>
                <w:rFonts w:hint="eastAsia" w:ascii="黑体" w:eastAsia="黑体"/>
                <w:sz w:val="24"/>
              </w:rPr>
            </w:pPr>
            <w:r>
              <w:rPr>
                <w:rFonts w:hint="eastAsia" w:ascii="黑体" w:eastAsia="黑体"/>
                <w:sz w:val="24"/>
              </w:rPr>
              <w:t>健康水平</w:t>
            </w:r>
          </w:p>
        </w:tc>
        <w:tc>
          <w:tcPr>
            <w:tcW w:w="693" w:type="dxa"/>
            <w:vMerge w:val="restart"/>
          </w:tcPr>
          <w:p>
            <w:pPr>
              <w:pStyle w:val="11"/>
              <w:rPr>
                <w:rFonts w:ascii="宋体"/>
                <w:b/>
                <w:sz w:val="26"/>
              </w:rPr>
            </w:pPr>
          </w:p>
          <w:p>
            <w:pPr>
              <w:pStyle w:val="11"/>
              <w:spacing w:before="232"/>
              <w:ind w:left="165"/>
              <w:rPr>
                <w:rFonts w:ascii="Times New Roman"/>
                <w:sz w:val="24"/>
              </w:rPr>
            </w:pPr>
            <w:r>
              <w:rPr>
                <w:rFonts w:ascii="Times New Roman"/>
                <w:sz w:val="24"/>
              </w:rPr>
              <w:t>123</w:t>
            </w:r>
          </w:p>
        </w:tc>
        <w:tc>
          <w:tcPr>
            <w:tcW w:w="3458" w:type="dxa"/>
          </w:tcPr>
          <w:p>
            <w:pPr>
              <w:pStyle w:val="11"/>
              <w:spacing w:before="134"/>
              <w:ind w:left="108"/>
              <w:rPr>
                <w:rFonts w:hint="eastAsia" w:ascii="仿宋" w:eastAsia="仿宋"/>
                <w:b/>
                <w:sz w:val="24"/>
              </w:rPr>
            </w:pPr>
            <w:r>
              <w:rPr>
                <w:rFonts w:hint="eastAsia" w:ascii="仿宋" w:eastAsia="仿宋"/>
                <w:b/>
                <w:sz w:val="24"/>
              </w:rPr>
              <w:t>人均预期寿命（岁）</w:t>
            </w:r>
          </w:p>
        </w:tc>
        <w:tc>
          <w:tcPr>
            <w:tcW w:w="1282" w:type="dxa"/>
          </w:tcPr>
          <w:p>
            <w:pPr>
              <w:pStyle w:val="11"/>
              <w:spacing w:before="150"/>
              <w:ind w:left="89" w:right="76"/>
              <w:jc w:val="center"/>
              <w:rPr>
                <w:rFonts w:ascii="Times New Roman"/>
                <w:sz w:val="24"/>
              </w:rPr>
            </w:pPr>
            <w:r>
              <w:rPr>
                <w:rFonts w:ascii="Times New Roman"/>
                <w:sz w:val="24"/>
              </w:rPr>
              <w:t>76.7</w:t>
            </w:r>
          </w:p>
        </w:tc>
        <w:tc>
          <w:tcPr>
            <w:tcW w:w="851" w:type="dxa"/>
          </w:tcPr>
          <w:p>
            <w:pPr>
              <w:pStyle w:val="11"/>
              <w:spacing w:before="150"/>
              <w:ind w:left="213"/>
              <w:rPr>
                <w:rFonts w:ascii="Times New Roman"/>
                <w:sz w:val="24"/>
              </w:rPr>
            </w:pPr>
            <w:r>
              <w:rPr>
                <w:rFonts w:ascii="Times New Roman"/>
                <w:sz w:val="24"/>
              </w:rPr>
              <w:t>77.7</w:t>
            </w:r>
          </w:p>
        </w:tc>
        <w:tc>
          <w:tcPr>
            <w:tcW w:w="851" w:type="dxa"/>
          </w:tcPr>
          <w:p>
            <w:pPr>
              <w:pStyle w:val="11"/>
              <w:spacing w:before="150"/>
              <w:ind w:left="214"/>
              <w:rPr>
                <w:rFonts w:ascii="Times New Roman"/>
                <w:sz w:val="24"/>
              </w:rPr>
            </w:pPr>
            <w:r>
              <w:rPr>
                <w:rFonts w:ascii="Times New Roman"/>
                <w:sz w:val="24"/>
              </w:rPr>
              <w:t>79.0</w:t>
            </w:r>
          </w:p>
        </w:tc>
        <w:tc>
          <w:tcPr>
            <w:tcW w:w="1050" w:type="dxa"/>
          </w:tcPr>
          <w:p>
            <w:pPr>
              <w:pStyle w:val="11"/>
              <w:spacing w:before="134"/>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spacing w:before="1" w:line="242" w:lineRule="auto"/>
              <w:ind w:left="108" w:right="87"/>
              <w:rPr>
                <w:sz w:val="21"/>
              </w:rPr>
            </w:pPr>
            <w:r>
              <w:rPr>
                <w:spacing w:val="-8"/>
                <w:w w:val="95"/>
                <w:sz w:val="21"/>
              </w:rPr>
              <w:t xml:space="preserve">说明：指在一定死亡水平下，预期每个人出生时平均可存活的年数；根据寿命表  </w:t>
            </w:r>
            <w:r>
              <w:rPr>
                <w:spacing w:val="-7"/>
                <w:sz w:val="21"/>
              </w:rPr>
              <w:t>法计算所得；根据世界银行数据，</w:t>
            </w:r>
            <w:r>
              <w:rPr>
                <w:rFonts w:ascii="Times New Roman" w:eastAsia="Times New Roman"/>
                <w:sz w:val="21"/>
              </w:rPr>
              <w:t xml:space="preserve">2016 </w:t>
            </w:r>
            <w:r>
              <w:rPr>
                <w:spacing w:val="-6"/>
                <w:sz w:val="21"/>
              </w:rPr>
              <w:t xml:space="preserve">年中高收入国家平均为 </w:t>
            </w:r>
            <w:r>
              <w:rPr>
                <w:rFonts w:ascii="Times New Roman" w:eastAsia="Times New Roman"/>
                <w:sz w:val="21"/>
              </w:rPr>
              <w:t xml:space="preserve">75 </w:t>
            </w:r>
            <w:r>
              <w:rPr>
                <w:spacing w:val="-2"/>
                <w:sz w:val="21"/>
              </w:rPr>
              <w:t>岁，高收入国</w:t>
            </w:r>
          </w:p>
          <w:p>
            <w:pPr>
              <w:pStyle w:val="11"/>
              <w:spacing w:line="253" w:lineRule="exact"/>
              <w:ind w:left="108"/>
              <w:rPr>
                <w:sz w:val="21"/>
              </w:rPr>
            </w:pPr>
            <w:r>
              <w:rPr>
                <w:sz w:val="21"/>
              </w:rPr>
              <w:t xml:space="preserve">家平均为 </w:t>
            </w:r>
            <w:r>
              <w:rPr>
                <w:rFonts w:ascii="Times New Roman" w:eastAsia="Times New Roman"/>
                <w:sz w:val="21"/>
              </w:rPr>
              <w:t xml:space="preserve">80 </w:t>
            </w:r>
            <w:r>
              <w:rPr>
                <w:sz w:val="21"/>
              </w:rPr>
              <w:t>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695" w:type="dxa"/>
            <w:vMerge w:val="continue"/>
            <w:tcBorders>
              <w:top w:val="nil"/>
            </w:tcBorders>
          </w:tcPr>
          <w:p>
            <w:pPr>
              <w:rPr>
                <w:sz w:val="2"/>
                <w:szCs w:val="2"/>
              </w:rPr>
            </w:pPr>
          </w:p>
        </w:tc>
        <w:tc>
          <w:tcPr>
            <w:tcW w:w="693" w:type="dxa"/>
            <w:vMerge w:val="restart"/>
          </w:tcPr>
          <w:p>
            <w:pPr>
              <w:pStyle w:val="11"/>
              <w:rPr>
                <w:rFonts w:ascii="宋体"/>
                <w:b/>
                <w:sz w:val="26"/>
              </w:rPr>
            </w:pPr>
          </w:p>
          <w:p>
            <w:pPr>
              <w:pStyle w:val="11"/>
              <w:spacing w:before="10"/>
              <w:rPr>
                <w:rFonts w:ascii="宋体"/>
                <w:b/>
                <w:sz w:val="19"/>
              </w:rPr>
            </w:pPr>
          </w:p>
          <w:p>
            <w:pPr>
              <w:pStyle w:val="11"/>
              <w:spacing w:before="1"/>
              <w:ind w:left="165"/>
              <w:rPr>
                <w:rFonts w:ascii="Times New Roman"/>
                <w:sz w:val="24"/>
              </w:rPr>
            </w:pPr>
            <w:r>
              <w:rPr>
                <w:rFonts w:ascii="Times New Roman"/>
                <w:sz w:val="24"/>
              </w:rPr>
              <w:t>124</w:t>
            </w:r>
          </w:p>
        </w:tc>
        <w:tc>
          <w:tcPr>
            <w:tcW w:w="3458" w:type="dxa"/>
          </w:tcPr>
          <w:p>
            <w:pPr>
              <w:pStyle w:val="11"/>
              <w:spacing w:before="156"/>
              <w:ind w:left="108"/>
              <w:rPr>
                <w:rFonts w:hint="eastAsia" w:ascii="仿宋" w:eastAsia="仿宋"/>
                <w:b/>
                <w:sz w:val="24"/>
              </w:rPr>
            </w:pPr>
            <w:r>
              <w:rPr>
                <w:rFonts w:hint="eastAsia" w:ascii="仿宋" w:eastAsia="仿宋"/>
                <w:b/>
                <w:sz w:val="24"/>
              </w:rPr>
              <w:t>人均健康预期寿命（岁）</w:t>
            </w:r>
          </w:p>
        </w:tc>
        <w:tc>
          <w:tcPr>
            <w:tcW w:w="1282" w:type="dxa"/>
          </w:tcPr>
          <w:p>
            <w:pPr>
              <w:pStyle w:val="11"/>
              <w:spacing w:before="17"/>
              <w:ind w:left="89" w:right="116"/>
              <w:jc w:val="center"/>
              <w:rPr>
                <w:rFonts w:hint="eastAsia" w:ascii="仿宋" w:eastAsia="仿宋"/>
                <w:sz w:val="24"/>
              </w:rPr>
            </w:pPr>
            <w:r>
              <w:rPr>
                <w:rFonts w:ascii="Times New Roman" w:eastAsia="Times New Roman"/>
                <w:sz w:val="24"/>
              </w:rPr>
              <w:t xml:space="preserve">2016 </w:t>
            </w:r>
            <w:r>
              <w:rPr>
                <w:rFonts w:hint="eastAsia" w:ascii="仿宋" w:eastAsia="仿宋"/>
                <w:sz w:val="24"/>
              </w:rPr>
              <w:t>年为</w:t>
            </w:r>
          </w:p>
          <w:p>
            <w:pPr>
              <w:pStyle w:val="11"/>
              <w:spacing w:before="3" w:line="274" w:lineRule="exact"/>
              <w:ind w:left="89" w:right="76"/>
              <w:jc w:val="center"/>
              <w:rPr>
                <w:rFonts w:ascii="Times New Roman"/>
                <w:sz w:val="24"/>
              </w:rPr>
            </w:pPr>
            <w:r>
              <w:rPr>
                <w:rFonts w:ascii="Times New Roman"/>
                <w:sz w:val="24"/>
              </w:rPr>
              <w:t>68.7</w:t>
            </w:r>
          </w:p>
        </w:tc>
        <w:tc>
          <w:tcPr>
            <w:tcW w:w="851" w:type="dxa"/>
          </w:tcPr>
          <w:p>
            <w:pPr>
              <w:pStyle w:val="11"/>
              <w:spacing w:before="156"/>
              <w:ind w:left="185"/>
              <w:rPr>
                <w:rFonts w:hint="eastAsia" w:ascii="仿宋" w:eastAsia="仿宋"/>
                <w:sz w:val="24"/>
              </w:rPr>
            </w:pPr>
            <w:r>
              <w:rPr>
                <w:rFonts w:hint="eastAsia" w:ascii="仿宋" w:eastAsia="仿宋"/>
                <w:sz w:val="24"/>
              </w:rPr>
              <w:t>提高</w:t>
            </w:r>
          </w:p>
        </w:tc>
        <w:tc>
          <w:tcPr>
            <w:tcW w:w="851" w:type="dxa"/>
          </w:tcPr>
          <w:p>
            <w:pPr>
              <w:pStyle w:val="11"/>
              <w:ind w:left="183"/>
              <w:rPr>
                <w:rFonts w:hint="eastAsia" w:ascii="仿宋" w:eastAsia="仿宋"/>
                <w:sz w:val="24"/>
              </w:rPr>
            </w:pPr>
            <w:r>
              <w:rPr>
                <w:rFonts w:hint="eastAsia" w:ascii="仿宋" w:eastAsia="仿宋"/>
                <w:sz w:val="24"/>
              </w:rPr>
              <w:t>显著</w:t>
            </w:r>
          </w:p>
          <w:p>
            <w:pPr>
              <w:pStyle w:val="11"/>
              <w:spacing w:before="4" w:line="290" w:lineRule="exact"/>
              <w:ind w:left="183"/>
              <w:rPr>
                <w:rFonts w:hint="eastAsia" w:ascii="仿宋" w:eastAsia="仿宋"/>
                <w:sz w:val="24"/>
              </w:rPr>
            </w:pPr>
            <w:r>
              <w:rPr>
                <w:rFonts w:hint="eastAsia" w:ascii="仿宋" w:eastAsia="仿宋"/>
                <w:sz w:val="24"/>
              </w:rPr>
              <w:t>提高</w:t>
            </w:r>
          </w:p>
        </w:tc>
        <w:tc>
          <w:tcPr>
            <w:tcW w:w="1050" w:type="dxa"/>
          </w:tcPr>
          <w:p>
            <w:pPr>
              <w:pStyle w:val="11"/>
              <w:spacing w:before="156"/>
              <w:ind w:left="144" w:right="128"/>
              <w:jc w:val="center"/>
              <w:rPr>
                <w:rFonts w:hint="eastAsia" w:ascii="仿宋" w:eastAsia="仿宋"/>
                <w:sz w:val="24"/>
              </w:rPr>
            </w:pPr>
            <w:r>
              <w:rPr>
                <w:rFonts w:hint="eastAsia" w:ascii="仿宋" w:eastAsia="仿宋"/>
                <w:sz w:val="24"/>
              </w:rPr>
              <w:t>预期性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6" w:hRule="atLeast"/>
        </w:trPr>
        <w:tc>
          <w:tcPr>
            <w:tcW w:w="695" w:type="dxa"/>
            <w:vMerge w:val="continue"/>
            <w:tcBorders>
              <w:top w:val="nil"/>
            </w:tcBorders>
          </w:tcPr>
          <w:p>
            <w:pPr>
              <w:rPr>
                <w:sz w:val="2"/>
                <w:szCs w:val="2"/>
              </w:rPr>
            </w:pPr>
          </w:p>
        </w:tc>
        <w:tc>
          <w:tcPr>
            <w:tcW w:w="693" w:type="dxa"/>
            <w:vMerge w:val="continue"/>
            <w:tcBorders>
              <w:top w:val="nil"/>
            </w:tcBorders>
          </w:tcPr>
          <w:p>
            <w:pPr>
              <w:rPr>
                <w:sz w:val="2"/>
                <w:szCs w:val="2"/>
              </w:rPr>
            </w:pPr>
          </w:p>
        </w:tc>
        <w:tc>
          <w:tcPr>
            <w:tcW w:w="7492" w:type="dxa"/>
            <w:gridSpan w:val="5"/>
          </w:tcPr>
          <w:p>
            <w:pPr>
              <w:pStyle w:val="11"/>
              <w:ind w:left="108" w:right="-15"/>
              <w:rPr>
                <w:sz w:val="21"/>
              </w:rPr>
            </w:pPr>
            <w:r>
              <w:rPr>
                <w:spacing w:val="-8"/>
                <w:sz w:val="21"/>
              </w:rPr>
              <w:t>说明：是一个相对数据，估算的是一个人在完全健康状态下生存的平均年数，这</w:t>
            </w:r>
          </w:p>
          <w:p>
            <w:pPr>
              <w:pStyle w:val="11"/>
              <w:spacing w:before="4" w:line="270" w:lineRule="atLeast"/>
              <w:ind w:left="108" w:right="-15"/>
              <w:rPr>
                <w:sz w:val="21"/>
              </w:rPr>
            </w:pPr>
            <w:r>
              <w:rPr>
                <w:spacing w:val="-4"/>
                <w:sz w:val="21"/>
              </w:rPr>
              <w:t xml:space="preserve">一数据是基于现在人口的死亡率和普遍的健康状况。根据《世界卫生统计 </w:t>
            </w:r>
            <w:r>
              <w:rPr>
                <w:rFonts w:ascii="Times New Roman" w:eastAsia="Times New Roman"/>
                <w:sz w:val="21"/>
              </w:rPr>
              <w:t>2018</w:t>
            </w:r>
            <w:r>
              <w:rPr>
                <w:sz w:val="21"/>
              </w:rPr>
              <w:t>》数据，</w:t>
            </w:r>
            <w:r>
              <w:rPr>
                <w:rFonts w:ascii="Times New Roman" w:eastAsia="Times New Roman"/>
                <w:sz w:val="21"/>
              </w:rPr>
              <w:t>2016</w:t>
            </w:r>
            <w:r>
              <w:rPr>
                <w:rFonts w:ascii="Times New Roman" w:eastAsia="Times New Roman"/>
                <w:spacing w:val="-2"/>
                <w:sz w:val="21"/>
              </w:rPr>
              <w:t xml:space="preserve"> </w:t>
            </w:r>
            <w:r>
              <w:rPr>
                <w:spacing w:val="-4"/>
                <w:sz w:val="21"/>
              </w:rPr>
              <w:t xml:space="preserve">年中国的人均健康预期寿命为 </w:t>
            </w:r>
            <w:r>
              <w:rPr>
                <w:rFonts w:ascii="Times New Roman" w:eastAsia="Times New Roman"/>
                <w:sz w:val="21"/>
              </w:rPr>
              <w:t>68.7</w:t>
            </w:r>
            <w:r>
              <w:rPr>
                <w:rFonts w:ascii="Times New Roman" w:eastAsia="Times New Roman"/>
                <w:spacing w:val="-2"/>
                <w:sz w:val="21"/>
              </w:rPr>
              <w:t xml:space="preserve"> </w:t>
            </w:r>
            <w:r>
              <w:rPr>
                <w:spacing w:val="-7"/>
                <w:sz w:val="21"/>
              </w:rPr>
              <w:t xml:space="preserve">岁，高于美国的 </w:t>
            </w:r>
            <w:r>
              <w:rPr>
                <w:rFonts w:ascii="Times New Roman" w:eastAsia="Times New Roman"/>
                <w:sz w:val="21"/>
              </w:rPr>
              <w:t>68.5</w:t>
            </w:r>
            <w:r>
              <w:rPr>
                <w:rFonts w:ascii="Times New Roman" w:eastAsia="Times New Roman"/>
                <w:spacing w:val="-2"/>
                <w:sz w:val="21"/>
              </w:rPr>
              <w:t xml:space="preserve"> </w:t>
            </w:r>
            <w:r>
              <w:rPr>
                <w:sz w:val="21"/>
              </w:rPr>
              <w:t>岁。</w:t>
            </w:r>
          </w:p>
        </w:tc>
      </w:tr>
    </w:tbl>
    <w:p>
      <w:pPr>
        <w:spacing w:before="121" w:line="333" w:lineRule="auto"/>
        <w:ind w:left="400" w:right="655" w:firstLine="559"/>
        <w:jc w:val="both"/>
        <w:rPr>
          <w:rFonts w:hint="eastAsia" w:ascii="楷体" w:eastAsia="楷体"/>
          <w:sz w:val="28"/>
        </w:rPr>
      </w:pPr>
      <w:r>
        <w:rPr>
          <w:rFonts w:hint="eastAsia" w:ascii="楷体" w:eastAsia="楷体"/>
          <w:sz w:val="28"/>
        </w:rPr>
        <w:t>注：（</w:t>
      </w:r>
      <w:r>
        <w:rPr>
          <w:rFonts w:ascii="Times New Roman" w:eastAsia="Times New Roman"/>
          <w:sz w:val="28"/>
        </w:rPr>
        <w:t>1</w:t>
      </w:r>
      <w:r>
        <w:rPr>
          <w:rFonts w:hint="eastAsia" w:ascii="楷体" w:eastAsia="楷体"/>
          <w:sz w:val="28"/>
        </w:rPr>
        <w:t>）本文件中的有关调查数据，未特别说明的，主要为官方抽样调查统计数据；（</w:t>
      </w:r>
      <w:r>
        <w:rPr>
          <w:rFonts w:ascii="Times New Roman" w:eastAsia="Times New Roman"/>
          <w:sz w:val="28"/>
        </w:rPr>
        <w:t>2</w:t>
      </w:r>
      <w:r>
        <w:rPr>
          <w:rFonts w:hint="eastAsia" w:ascii="楷体" w:eastAsia="楷体"/>
          <w:sz w:val="28"/>
        </w:rPr>
        <w:t xml:space="preserve">）本主要指标表中，未写明年份的基线水平值，均为 </w:t>
      </w:r>
      <w:r>
        <w:rPr>
          <w:rFonts w:ascii="Times New Roman" w:eastAsia="Times New Roman"/>
          <w:sz w:val="28"/>
        </w:rPr>
        <w:t xml:space="preserve">2017 </w:t>
      </w:r>
      <w:r>
        <w:rPr>
          <w:rFonts w:hint="eastAsia" w:ascii="楷体" w:eastAsia="楷体"/>
          <w:sz w:val="28"/>
        </w:rPr>
        <w:t>年数值；（</w:t>
      </w:r>
      <w:r>
        <w:rPr>
          <w:rFonts w:ascii="Times New Roman" w:eastAsia="Times New Roman"/>
          <w:sz w:val="28"/>
        </w:rPr>
        <w:t>3</w:t>
      </w:r>
      <w:r>
        <w:rPr>
          <w:rFonts w:hint="eastAsia" w:ascii="楷体" w:eastAsia="楷体"/>
          <w:sz w:val="28"/>
        </w:rPr>
        <w:t>）</w:t>
      </w:r>
      <w:r>
        <w:rPr>
          <w:rFonts w:ascii="Times New Roman" w:eastAsia="Times New Roman"/>
          <w:position w:val="9"/>
          <w:sz w:val="18"/>
        </w:rPr>
        <w:t>#</w:t>
      </w:r>
      <w:r>
        <w:rPr>
          <w:rFonts w:hint="eastAsia" w:ascii="楷体" w:eastAsia="楷体"/>
          <w:sz w:val="28"/>
        </w:rPr>
        <w:t xml:space="preserve">为 </w:t>
      </w:r>
      <w:r>
        <w:rPr>
          <w:rFonts w:ascii="Times New Roman" w:eastAsia="Times New Roman"/>
          <w:sz w:val="28"/>
        </w:rPr>
        <w:t xml:space="preserve">2020 </w:t>
      </w:r>
      <w:r>
        <w:rPr>
          <w:rFonts w:hint="eastAsia" w:ascii="楷体" w:eastAsia="楷体"/>
          <w:sz w:val="28"/>
        </w:rPr>
        <w:t>年目标值。</w:t>
      </w:r>
    </w:p>
    <w:p>
      <w:pPr>
        <w:spacing w:after="0" w:line="333" w:lineRule="auto"/>
        <w:jc w:val="both"/>
        <w:rPr>
          <w:rFonts w:hint="eastAsia" w:ascii="楷体" w:eastAsia="楷体"/>
          <w:sz w:val="28"/>
        </w:rPr>
        <w:sectPr>
          <w:pgSz w:w="11910" w:h="16840"/>
          <w:pgMar w:top="1420" w:right="1140" w:bottom="1300" w:left="1400" w:header="0" w:footer="1120" w:gutter="0"/>
        </w:sectPr>
      </w:pPr>
    </w:p>
    <w:p>
      <w:pPr>
        <w:pStyle w:val="3"/>
        <w:ind w:left="810" w:right="0" w:firstLine="0"/>
        <w:rPr>
          <w:rFonts w:hint="eastAsia" w:ascii="黑体" w:eastAsia="黑体"/>
        </w:rPr>
      </w:pPr>
      <w:bookmarkStart w:id="12" w:name="三、重大行动"/>
      <w:bookmarkEnd w:id="12"/>
      <w:r>
        <w:rPr>
          <w:rFonts w:hint="eastAsia" w:ascii="黑体" w:eastAsia="黑体"/>
        </w:rPr>
        <w:t>三、重大行动</w:t>
      </w:r>
    </w:p>
    <w:p>
      <w:pPr>
        <w:pStyle w:val="2"/>
        <w:spacing w:before="190"/>
      </w:pPr>
      <w:bookmarkStart w:id="13" w:name="（一）健康知识普及行动。"/>
      <w:bookmarkEnd w:id="13"/>
      <w:r>
        <w:t>（一）健康知识普及行动。</w:t>
      </w:r>
    </w:p>
    <w:p>
      <w:pPr>
        <w:pStyle w:val="3"/>
        <w:spacing w:before="190" w:line="350" w:lineRule="auto"/>
        <w:ind w:right="202"/>
      </w:pPr>
      <w:r>
        <w:t>每个人是自己健康的第一责任人，对家庭和社会都负有健康责任。普及健康知识，提高全民健康素养水平，是提高全民健康水平最根本最经济最有效的措施之一。当前，我国居民健康素养水平总体仍比较低。</w:t>
      </w:r>
      <w:r>
        <w:rPr>
          <w:rFonts w:ascii="Times New Roman" w:hAnsi="Times New Roman" w:eastAsia="Times New Roman"/>
        </w:rPr>
        <w:t xml:space="preserve">2017 </w:t>
      </w:r>
      <w:r>
        <w:t>年居民健康素养水平只有</w:t>
      </w:r>
      <w:r>
        <w:rPr>
          <w:rFonts w:ascii="Times New Roman" w:hAnsi="Times New Roman" w:eastAsia="Times New Roman"/>
        </w:rPr>
        <w:t>14.18%</w:t>
      </w:r>
      <w:r>
        <w:t>。城乡居民关于预防疾病、早期发现、紧急救援、及时</w:t>
      </w:r>
      <w:r>
        <w:rPr>
          <w:w w:val="95"/>
        </w:rPr>
        <w:t xml:space="preserve">就医、合理用药、应急避险等维护健康的知识和技能比较缺乏， </w:t>
      </w:r>
      <w:r>
        <w:t>不健康生活行为方式比较普遍。科学普及健康知识，提升健康素养，有助于提高居民自我健康管理能力和健康水平。《中国公民健康素养</w:t>
      </w:r>
      <w:r>
        <w:rPr>
          <w:rFonts w:ascii="Times New Roman" w:hAnsi="Times New Roman" w:eastAsia="Times New Roman"/>
        </w:rPr>
        <w:t>——</w:t>
      </w:r>
      <w:r>
        <w:t>基本知识与技能》界定了现阶段健康素养的具体内容，是公民最应掌握的健康知识和技能。</w:t>
      </w:r>
    </w:p>
    <w:p>
      <w:pPr>
        <w:pStyle w:val="3"/>
        <w:spacing w:before="14"/>
        <w:ind w:left="810" w:right="0" w:firstLine="0"/>
        <w:rPr>
          <w:rFonts w:hint="eastAsia" w:ascii="黑体" w:eastAsia="黑体"/>
        </w:rPr>
      </w:pPr>
      <w:r>
        <w:rPr>
          <w:rFonts w:hint="eastAsia" w:ascii="黑体" w:eastAsia="黑体"/>
        </w:rPr>
        <w:t>行动目标：</w:t>
      </w:r>
    </w:p>
    <w:p>
      <w:pPr>
        <w:pStyle w:val="3"/>
        <w:spacing w:before="190" w:line="350" w:lineRule="auto"/>
        <w:ind w:right="270"/>
      </w:pPr>
      <w:r>
        <w:rPr>
          <w:spacing w:val="-39"/>
        </w:rPr>
        <w:t xml:space="preserve">到 </w:t>
      </w:r>
      <w:r>
        <w:rPr>
          <w:rFonts w:ascii="Times New Roman" w:hAnsi="Times New Roman" w:eastAsia="Times New Roman"/>
        </w:rPr>
        <w:t xml:space="preserve">2022 </w:t>
      </w:r>
      <w:r>
        <w:rPr>
          <w:spacing w:val="-24"/>
        </w:rPr>
        <w:t xml:space="preserve">年和 </w:t>
      </w:r>
      <w:r>
        <w:rPr>
          <w:rFonts w:ascii="Times New Roman" w:hAnsi="Times New Roman" w:eastAsia="Times New Roman"/>
        </w:rPr>
        <w:t xml:space="preserve">2030 </w:t>
      </w:r>
      <w:r>
        <w:rPr>
          <w:spacing w:val="4"/>
        </w:rPr>
        <w:t>年，全国居民健康素养水平分别不低于</w:t>
      </w:r>
      <w:r>
        <w:rPr>
          <w:rFonts w:ascii="Times New Roman" w:hAnsi="Times New Roman" w:eastAsia="Times New Roman"/>
          <w:spacing w:val="4"/>
        </w:rPr>
        <w:t>22%</w:t>
      </w:r>
      <w:r>
        <w:rPr>
          <w:spacing w:val="-37"/>
        </w:rPr>
        <w:t xml:space="preserve">和 </w:t>
      </w:r>
      <w:r>
        <w:rPr>
          <w:rFonts w:ascii="Times New Roman" w:hAnsi="Times New Roman" w:eastAsia="Times New Roman"/>
          <w:spacing w:val="3"/>
        </w:rPr>
        <w:t>30%</w:t>
      </w:r>
      <w:r>
        <w:rPr>
          <w:spacing w:val="4"/>
        </w:rPr>
        <w:t>，其中：基本知识和理念素养水平、健康生活方式</w:t>
      </w:r>
      <w:r>
        <w:rPr>
          <w:spacing w:val="1"/>
        </w:rPr>
        <w:t xml:space="preserve">与行为素养水平、基本技能素养水平分别提高到 </w:t>
      </w:r>
      <w:r>
        <w:rPr>
          <w:rFonts w:ascii="Times New Roman" w:hAnsi="Times New Roman" w:eastAsia="Times New Roman"/>
          <w:spacing w:val="2"/>
        </w:rPr>
        <w:t>30%</w:t>
      </w:r>
      <w:r>
        <w:rPr>
          <w:spacing w:val="7"/>
        </w:rPr>
        <w:t>、</w:t>
      </w:r>
      <w:r>
        <w:rPr>
          <w:rFonts w:ascii="Times New Roman" w:hAnsi="Times New Roman" w:eastAsia="Times New Roman"/>
          <w:spacing w:val="2"/>
        </w:rPr>
        <w:t>18%</w:t>
      </w:r>
      <w:r>
        <w:t>、</w:t>
      </w:r>
      <w:r>
        <w:rPr>
          <w:rFonts w:ascii="Times New Roman" w:hAnsi="Times New Roman" w:eastAsia="Times New Roman"/>
        </w:rPr>
        <w:t>20%</w:t>
      </w:r>
      <w:r>
        <w:rPr>
          <w:spacing w:val="-17"/>
        </w:rPr>
        <w:t xml:space="preserve">及以上和 </w:t>
      </w:r>
      <w:r>
        <w:rPr>
          <w:rFonts w:ascii="Times New Roman" w:hAnsi="Times New Roman" w:eastAsia="Times New Roman"/>
        </w:rPr>
        <w:t>45%</w:t>
      </w:r>
      <w:r>
        <w:rPr>
          <w:spacing w:val="-15"/>
        </w:rPr>
        <w:t>、</w:t>
      </w:r>
      <w:r>
        <w:rPr>
          <w:rFonts w:ascii="Times New Roman" w:hAnsi="Times New Roman" w:eastAsia="Times New Roman"/>
        </w:rPr>
        <w:t>25%</w:t>
      </w:r>
      <w:r>
        <w:rPr>
          <w:spacing w:val="-15"/>
        </w:rPr>
        <w:t>、</w:t>
      </w:r>
      <w:r>
        <w:rPr>
          <w:rFonts w:ascii="Times New Roman" w:hAnsi="Times New Roman" w:eastAsia="Times New Roman"/>
        </w:rPr>
        <w:t>30%</w:t>
      </w:r>
      <w:r>
        <w:rPr>
          <w:spacing w:val="-5"/>
        </w:rPr>
        <w:t>及以上，居民基本医疗素养、慢</w:t>
      </w:r>
      <w:r>
        <w:rPr>
          <w:spacing w:val="1"/>
        </w:rPr>
        <w:t xml:space="preserve">性病防治素养、传染病防治素养水平分别提高到 </w:t>
      </w:r>
      <w:r>
        <w:rPr>
          <w:rFonts w:ascii="Times New Roman" w:hAnsi="Times New Roman" w:eastAsia="Times New Roman"/>
          <w:spacing w:val="2"/>
        </w:rPr>
        <w:t>20%</w:t>
      </w:r>
      <w:r>
        <w:rPr>
          <w:spacing w:val="7"/>
        </w:rPr>
        <w:t>、</w:t>
      </w:r>
      <w:r>
        <w:rPr>
          <w:rFonts w:ascii="Times New Roman" w:hAnsi="Times New Roman" w:eastAsia="Times New Roman"/>
          <w:spacing w:val="2"/>
        </w:rPr>
        <w:t>20%</w:t>
      </w:r>
      <w:r>
        <w:t>、</w:t>
      </w:r>
      <w:r>
        <w:rPr>
          <w:rFonts w:ascii="Times New Roman" w:hAnsi="Times New Roman" w:eastAsia="Times New Roman"/>
        </w:rPr>
        <w:t>20%</w:t>
      </w:r>
      <w:r>
        <w:rPr>
          <w:spacing w:val="-17"/>
        </w:rPr>
        <w:t xml:space="preserve">及以上和 </w:t>
      </w:r>
      <w:r>
        <w:rPr>
          <w:rFonts w:ascii="Times New Roman" w:hAnsi="Times New Roman" w:eastAsia="Times New Roman"/>
        </w:rPr>
        <w:t>28%</w:t>
      </w:r>
      <w:r>
        <w:rPr>
          <w:spacing w:val="-151"/>
        </w:rPr>
        <w:t>、</w:t>
      </w:r>
      <w:r>
        <w:rPr>
          <w:rFonts w:ascii="Times New Roman" w:hAnsi="Times New Roman" w:eastAsia="Times New Roman"/>
        </w:rPr>
        <w:t>30%</w:t>
      </w:r>
      <w:r>
        <w:rPr>
          <w:spacing w:val="-154"/>
        </w:rPr>
        <w:t>、</w:t>
      </w:r>
      <w:r>
        <w:rPr>
          <w:rFonts w:ascii="Times New Roman" w:hAnsi="Times New Roman" w:eastAsia="Times New Roman"/>
        </w:rPr>
        <w:t>25%</w:t>
      </w:r>
      <w:r>
        <w:rPr>
          <w:spacing w:val="-20"/>
        </w:rPr>
        <w:t xml:space="preserve">及以上；人口献血率分别达到 </w:t>
      </w:r>
      <w:r>
        <w:rPr>
          <w:rFonts w:ascii="Times New Roman" w:hAnsi="Times New Roman" w:eastAsia="Times New Roman"/>
        </w:rPr>
        <w:t xml:space="preserve">15‰ </w:t>
      </w:r>
      <w:r>
        <w:rPr>
          <w:spacing w:val="-38"/>
        </w:rPr>
        <w:t xml:space="preserve">和 </w:t>
      </w:r>
      <w:r>
        <w:rPr>
          <w:rFonts w:ascii="Times New Roman" w:hAnsi="Times New Roman" w:eastAsia="Times New Roman"/>
        </w:rPr>
        <w:t>25‰</w:t>
      </w:r>
      <w:r>
        <w:t>；建立并完善健康科普专家库和资源库，构建健康科普</w:t>
      </w:r>
      <w:r>
        <w:rPr>
          <w:spacing w:val="-4"/>
        </w:rPr>
        <w:t xml:space="preserve">知识发布和传播机制；中央广电总台对公益性健康节目和栏目， </w:t>
      </w:r>
      <w:r>
        <w:rPr>
          <w:spacing w:val="4"/>
        </w:rPr>
        <w:t>在时段、时长上给予倾斜保障；建立医疗机构和医务人员开展健康教育和健康促进的绩效考核机制；医务人员掌握与岗位相</w:t>
      </w:r>
    </w:p>
    <w:p>
      <w:pPr>
        <w:spacing w:after="0" w:line="350" w:lineRule="auto"/>
        <w:sectPr>
          <w:pgSz w:w="11910" w:h="16840"/>
          <w:pgMar w:top="1540" w:right="1140" w:bottom="1380" w:left="1400" w:header="0" w:footer="1120" w:gutter="0"/>
        </w:sectPr>
      </w:pPr>
    </w:p>
    <w:p>
      <w:pPr>
        <w:pStyle w:val="3"/>
        <w:spacing w:line="350" w:lineRule="auto"/>
        <w:ind w:right="427" w:firstLine="0"/>
        <w:jc w:val="both"/>
      </w:pPr>
      <w:r>
        <w:rPr>
          <w:spacing w:val="4"/>
          <w:w w:val="95"/>
        </w:rPr>
        <w:t xml:space="preserve">适应的健康科普知识，并在诊疗过程中主动提供健康指导；中 </w:t>
      </w:r>
      <w:r>
        <w:rPr>
          <w:spacing w:val="-6"/>
        </w:rPr>
        <w:t xml:space="preserve">医医院设置治未病科室比例分别达到 </w:t>
      </w:r>
      <w:r>
        <w:rPr>
          <w:rFonts w:ascii="Times New Roman" w:eastAsia="Times New Roman"/>
        </w:rPr>
        <w:t>90%</w:t>
      </w:r>
      <w:r>
        <w:rPr>
          <w:spacing w:val="-42"/>
        </w:rPr>
        <w:t xml:space="preserve">和 </w:t>
      </w:r>
      <w:r>
        <w:rPr>
          <w:rFonts w:ascii="Times New Roman" w:eastAsia="Times New Roman"/>
        </w:rPr>
        <w:t>100%</w:t>
      </w:r>
      <w:r>
        <w:rPr>
          <w:spacing w:val="-16"/>
        </w:rPr>
        <w:t>。鼓励各主要</w:t>
      </w:r>
      <w:r>
        <w:rPr>
          <w:spacing w:val="4"/>
          <w:w w:val="95"/>
        </w:rPr>
        <w:t xml:space="preserve">媒体网站和商业网站开设健康科普栏目。提倡个人定期记录身 心健康状况；了解掌握基本中医药健康知识；掌握基本的急救 </w:t>
      </w:r>
      <w:r>
        <w:t>知识和技能。</w:t>
      </w:r>
    </w:p>
    <w:p>
      <w:pPr>
        <w:pStyle w:val="2"/>
        <w:spacing w:before="7"/>
        <w:rPr>
          <w:rFonts w:hint="eastAsia" w:ascii="仿宋" w:hAnsi="仿宋" w:eastAsia="仿宋"/>
        </w:rPr>
      </w:pPr>
      <w:bookmarkStart w:id="14" w:name="——个人和家庭："/>
      <w:bookmarkEnd w:id="14"/>
      <w:r>
        <w:rPr>
          <w:rFonts w:ascii="Times New Roman" w:hAnsi="Times New Roman" w:eastAsia="Times New Roman"/>
        </w:rPr>
        <w:t>——</w:t>
      </w:r>
      <w:r>
        <w:rPr>
          <w:rFonts w:hint="eastAsia" w:ascii="仿宋" w:hAnsi="仿宋" w:eastAsia="仿宋"/>
        </w:rPr>
        <w:t>个人和家庭：</w:t>
      </w:r>
    </w:p>
    <w:p>
      <w:pPr>
        <w:pStyle w:val="10"/>
        <w:numPr>
          <w:ilvl w:val="0"/>
          <w:numId w:val="1"/>
        </w:numPr>
        <w:tabs>
          <w:tab w:val="left" w:pos="894"/>
        </w:tabs>
        <w:spacing w:before="190" w:after="0" w:line="350" w:lineRule="auto"/>
        <w:ind w:left="171" w:right="270" w:firstLine="480"/>
        <w:jc w:val="left"/>
        <w:rPr>
          <w:sz w:val="32"/>
        </w:rPr>
      </w:pPr>
      <w:r>
        <w:rPr>
          <w:sz w:val="32"/>
        </w:rPr>
        <w:t>正确认识健康。健康包括身体健康、心理健康和良好的社</w:t>
      </w:r>
      <w:r>
        <w:rPr>
          <w:spacing w:val="4"/>
          <w:sz w:val="32"/>
        </w:rPr>
        <w:t>会适应能力。遗传因素、环境因素、个人生活方式和医疗卫生</w:t>
      </w:r>
      <w:r>
        <w:rPr>
          <w:sz w:val="32"/>
        </w:rPr>
        <w:t xml:space="preserve">服务是影响健康的主要因素。每个人是自己健康的第一责任人， </w:t>
      </w:r>
      <w:r>
        <w:rPr>
          <w:spacing w:val="4"/>
          <w:sz w:val="32"/>
        </w:rPr>
        <w:t>提倡主动学习健康知识，养成健康生活方式，自觉维护和促进</w:t>
      </w:r>
      <w:r>
        <w:rPr>
          <w:spacing w:val="-2"/>
          <w:w w:val="95"/>
          <w:sz w:val="32"/>
        </w:rPr>
        <w:t xml:space="preserve">自身健康，理解生老病死的自然规律，了解医疗技术的局限性， </w:t>
      </w:r>
      <w:r>
        <w:rPr>
          <w:spacing w:val="-2"/>
          <w:sz w:val="32"/>
        </w:rPr>
        <w:t>尊重医学和医务人员，共同应对健康问题。</w:t>
      </w:r>
    </w:p>
    <w:p>
      <w:pPr>
        <w:pStyle w:val="10"/>
        <w:numPr>
          <w:ilvl w:val="0"/>
          <w:numId w:val="1"/>
        </w:numPr>
        <w:tabs>
          <w:tab w:val="left" w:pos="1052"/>
        </w:tabs>
        <w:spacing w:before="8" w:after="0" w:line="350" w:lineRule="auto"/>
        <w:ind w:left="171" w:right="270" w:firstLine="638"/>
        <w:jc w:val="left"/>
        <w:rPr>
          <w:sz w:val="32"/>
        </w:rPr>
      </w:pPr>
      <w:r>
        <w:rPr>
          <w:spacing w:val="-8"/>
          <w:sz w:val="32"/>
        </w:rPr>
        <w:t>养成健康文明的生活方式。注重饮食有节、起居有常、动</w:t>
      </w:r>
      <w:r>
        <w:rPr>
          <w:spacing w:val="4"/>
          <w:sz w:val="32"/>
        </w:rPr>
        <w:t>静结合、心态平和。讲究个人卫生、环境卫生、饮食卫生，勤</w:t>
      </w:r>
      <w:r>
        <w:rPr>
          <w:spacing w:val="-4"/>
          <w:sz w:val="32"/>
        </w:rPr>
        <w:t xml:space="preserve">洗手、常洗澡、早晚刷牙、饭后漱口，不共用毛巾和洗漱用品， </w:t>
      </w:r>
      <w:r>
        <w:rPr>
          <w:spacing w:val="3"/>
          <w:sz w:val="32"/>
        </w:rPr>
        <w:t>不随地吐痰，咳嗽、打喷嚏时用胳膊或纸巾遮掩口鼻。没有不</w:t>
      </w:r>
      <w:r>
        <w:rPr>
          <w:spacing w:val="4"/>
          <w:sz w:val="32"/>
        </w:rPr>
        <w:t>良嗜好，不吸烟，吸烟者尽早戒烟，少喝酒，不酗酒，拒绝毒品。积极参加健康有益的文体活动和社会活动。关注并记录自身健康状况，定期健康体检。积极参与无偿献血，健康成人每</w:t>
      </w:r>
      <w:r>
        <w:rPr>
          <w:spacing w:val="-19"/>
          <w:sz w:val="32"/>
        </w:rPr>
        <w:t xml:space="preserve">次献血 </w:t>
      </w:r>
      <w:r>
        <w:rPr>
          <w:rFonts w:ascii="Times New Roman" w:eastAsia="Times New Roman"/>
          <w:sz w:val="32"/>
        </w:rPr>
        <w:t>400ml</w:t>
      </w:r>
      <w:r>
        <w:rPr>
          <w:rFonts w:ascii="Times New Roman" w:eastAsia="Times New Roman"/>
          <w:spacing w:val="1"/>
          <w:sz w:val="32"/>
        </w:rPr>
        <w:t xml:space="preserve"> </w:t>
      </w:r>
      <w:r>
        <w:rPr>
          <w:spacing w:val="4"/>
          <w:sz w:val="32"/>
        </w:rPr>
        <w:t>不影响健康，还能帮助他人，两次献血间隔不少</w:t>
      </w:r>
      <w:r>
        <w:rPr>
          <w:spacing w:val="-39"/>
          <w:sz w:val="32"/>
        </w:rPr>
        <w:t xml:space="preserve">于 </w:t>
      </w:r>
      <w:r>
        <w:rPr>
          <w:rFonts w:ascii="Times New Roman" w:eastAsia="Times New Roman"/>
          <w:sz w:val="32"/>
        </w:rPr>
        <w:t xml:space="preserve">6 </w:t>
      </w:r>
      <w:r>
        <w:rPr>
          <w:sz w:val="32"/>
        </w:rPr>
        <w:t>个月。</w:t>
      </w:r>
    </w:p>
    <w:p>
      <w:pPr>
        <w:pStyle w:val="10"/>
        <w:numPr>
          <w:ilvl w:val="0"/>
          <w:numId w:val="1"/>
        </w:numPr>
        <w:tabs>
          <w:tab w:val="left" w:pos="1052"/>
        </w:tabs>
        <w:spacing w:before="13" w:after="0" w:line="350" w:lineRule="auto"/>
        <w:ind w:left="171" w:right="427" w:firstLine="638"/>
        <w:jc w:val="left"/>
        <w:rPr>
          <w:sz w:val="32"/>
        </w:rPr>
      </w:pPr>
      <w:r>
        <w:rPr>
          <w:spacing w:val="-10"/>
          <w:w w:val="95"/>
          <w:sz w:val="32"/>
        </w:rPr>
        <w:t xml:space="preserve">关注健康信息。学习、了解、掌握、应用《中国公民健康 </w:t>
      </w:r>
      <w:r>
        <w:rPr>
          <w:spacing w:val="5"/>
          <w:w w:val="95"/>
          <w:sz w:val="32"/>
        </w:rPr>
        <w:t>素养</w:t>
      </w:r>
      <w:r>
        <w:rPr>
          <w:rFonts w:ascii="Times New Roman" w:hAnsi="Times New Roman" w:eastAsia="Times New Roman"/>
          <w:spacing w:val="3"/>
          <w:w w:val="95"/>
          <w:sz w:val="32"/>
        </w:rPr>
        <w:t>——</w:t>
      </w:r>
      <w:r>
        <w:rPr>
          <w:spacing w:val="4"/>
          <w:w w:val="95"/>
          <w:sz w:val="32"/>
        </w:rPr>
        <w:t>基本知识与技能》和中医养生保健知识。遇到健康问</w:t>
      </w:r>
    </w:p>
    <w:p>
      <w:pPr>
        <w:spacing w:after="0" w:line="350" w:lineRule="auto"/>
        <w:jc w:val="left"/>
        <w:rPr>
          <w:sz w:val="32"/>
        </w:rPr>
        <w:sectPr>
          <w:pgSz w:w="11910" w:h="16840"/>
          <w:pgMar w:top="1540" w:right="1140" w:bottom="1380" w:left="1400" w:header="0" w:footer="1120" w:gutter="0"/>
        </w:sectPr>
      </w:pPr>
    </w:p>
    <w:p>
      <w:pPr>
        <w:pStyle w:val="3"/>
        <w:spacing w:line="350" w:lineRule="auto"/>
        <w:ind w:firstLine="0"/>
        <w:jc w:val="both"/>
      </w:pPr>
      <w:r>
        <w:rPr>
          <w:spacing w:val="4"/>
          <w:w w:val="95"/>
        </w:rPr>
        <w:t xml:space="preserve">题时，积极主动获取健康相关信息。提高理解、甄别、应用健 康信息的能力，优先选择从卫生健康行政部门等政府部门及医 </w:t>
      </w:r>
      <w:r>
        <w:t>疗卫生专业机构等正规途径获取健康知识。</w:t>
      </w:r>
    </w:p>
    <w:p>
      <w:pPr>
        <w:pStyle w:val="10"/>
        <w:numPr>
          <w:ilvl w:val="0"/>
          <w:numId w:val="1"/>
        </w:numPr>
        <w:tabs>
          <w:tab w:val="left" w:pos="1052"/>
        </w:tabs>
        <w:spacing w:before="4" w:after="0" w:line="350" w:lineRule="auto"/>
        <w:ind w:left="171" w:right="270" w:firstLine="638"/>
        <w:jc w:val="left"/>
        <w:rPr>
          <w:sz w:val="32"/>
        </w:rPr>
      </w:pPr>
      <w:r>
        <w:rPr>
          <w:spacing w:val="-19"/>
          <w:w w:val="95"/>
          <w:sz w:val="32"/>
        </w:rPr>
        <w:t xml:space="preserve">掌握必备的健康技能。会测量体温、脉搏；能够看懂食品、 </w:t>
      </w:r>
      <w:r>
        <w:rPr>
          <w:spacing w:val="4"/>
          <w:sz w:val="32"/>
        </w:rPr>
        <w:t>药品、化妆品、保健品的标签和说明书；学会识别常见的危险标识，如高压、易燃、易爆、剧毒、放射性、生物安全等，远离危险物。积极参加逃生与急救培训，学会基本逃生技能与急</w:t>
      </w:r>
      <w:r>
        <w:rPr>
          <w:spacing w:val="-2"/>
          <w:sz w:val="32"/>
        </w:rPr>
        <w:t xml:space="preserve">救技能；需要紧急医疗救助时拨打 </w:t>
      </w:r>
      <w:r>
        <w:rPr>
          <w:rFonts w:ascii="Times New Roman" w:eastAsia="Times New Roman"/>
          <w:sz w:val="32"/>
        </w:rPr>
        <w:t>120</w:t>
      </w:r>
      <w:r>
        <w:rPr>
          <w:rFonts w:ascii="Times New Roman" w:eastAsia="Times New Roman"/>
          <w:spacing w:val="-3"/>
          <w:sz w:val="32"/>
        </w:rPr>
        <w:t xml:space="preserve"> </w:t>
      </w:r>
      <w:r>
        <w:rPr>
          <w:spacing w:val="4"/>
          <w:sz w:val="32"/>
        </w:rPr>
        <w:t xml:space="preserve">急救电话；发生创伤出血量较多时，立即止血、包扎；对怀疑骨折的伤员不要轻易搬动；遇到呼吸、心脏骤停的伤病员，会进行心肺复苏；抢救触电者时，首先切断电源，不能直接接触触电者；发生火灾时， </w:t>
      </w:r>
      <w:r>
        <w:rPr>
          <w:spacing w:val="-8"/>
          <w:sz w:val="32"/>
        </w:rPr>
        <w:t xml:space="preserve">会拨打火警电话 </w:t>
      </w:r>
      <w:r>
        <w:rPr>
          <w:rFonts w:ascii="Times New Roman" w:eastAsia="Times New Roman"/>
          <w:spacing w:val="-10"/>
          <w:sz w:val="32"/>
        </w:rPr>
        <w:t>119</w:t>
      </w:r>
      <w:r>
        <w:rPr>
          <w:spacing w:val="-10"/>
          <w:sz w:val="32"/>
        </w:rPr>
        <w:t>，会隔离烟雾、用湿毛巾捂住口鼻、低姿逃</w:t>
      </w:r>
      <w:r>
        <w:rPr>
          <w:spacing w:val="4"/>
          <w:sz w:val="32"/>
        </w:rPr>
        <w:t>生。应用适宜的中医养生保健技术方法，开展自助式中医健康干预。</w:t>
      </w:r>
    </w:p>
    <w:p>
      <w:pPr>
        <w:pStyle w:val="10"/>
        <w:numPr>
          <w:ilvl w:val="0"/>
          <w:numId w:val="1"/>
        </w:numPr>
        <w:tabs>
          <w:tab w:val="left" w:pos="1052"/>
        </w:tabs>
        <w:spacing w:before="15" w:after="0" w:line="350" w:lineRule="auto"/>
        <w:ind w:left="171" w:right="429" w:firstLine="638"/>
        <w:jc w:val="both"/>
        <w:rPr>
          <w:sz w:val="32"/>
        </w:rPr>
      </w:pPr>
      <w:r>
        <w:rPr>
          <w:spacing w:val="-11"/>
          <w:sz w:val="32"/>
        </w:rPr>
        <w:t>科学就医。平时主动与全科医生、家庭医生联系，遇到健</w:t>
      </w:r>
      <w:r>
        <w:rPr>
          <w:spacing w:val="4"/>
          <w:w w:val="95"/>
          <w:sz w:val="32"/>
        </w:rPr>
        <w:t xml:space="preserve">康问题时，及时到医疗机构就诊，早诊断、早治疗，避免延误 最佳治疗时机。根据病情和医生的建议，选择合适的医疗机构 就医，小病诊疗首选基层医疗卫生机构，大病到医院。遵医嘱 </w:t>
      </w:r>
      <w:r>
        <w:rPr>
          <w:sz w:val="32"/>
        </w:rPr>
        <w:t>治疗，不轻信偏方，不相信</w:t>
      </w:r>
      <w:r>
        <w:rPr>
          <w:rFonts w:ascii="Times New Roman" w:hAnsi="Times New Roman" w:eastAsia="Times New Roman"/>
          <w:sz w:val="32"/>
        </w:rPr>
        <w:t>“</w:t>
      </w:r>
      <w:r>
        <w:rPr>
          <w:sz w:val="32"/>
        </w:rPr>
        <w:t>神医神药</w:t>
      </w:r>
      <w:r>
        <w:rPr>
          <w:rFonts w:ascii="Times New Roman" w:hAnsi="Times New Roman" w:eastAsia="Times New Roman"/>
          <w:sz w:val="32"/>
        </w:rPr>
        <w:t>”</w:t>
      </w:r>
      <w:r>
        <w:rPr>
          <w:sz w:val="32"/>
        </w:rPr>
        <w:t>。</w:t>
      </w:r>
    </w:p>
    <w:p>
      <w:pPr>
        <w:pStyle w:val="10"/>
        <w:numPr>
          <w:ilvl w:val="0"/>
          <w:numId w:val="1"/>
        </w:numPr>
        <w:tabs>
          <w:tab w:val="left" w:pos="1052"/>
        </w:tabs>
        <w:spacing w:before="7" w:after="0" w:line="350" w:lineRule="auto"/>
        <w:ind w:left="171" w:right="429" w:firstLine="638"/>
        <w:jc w:val="both"/>
        <w:rPr>
          <w:sz w:val="32"/>
        </w:rPr>
      </w:pPr>
      <w:r>
        <w:rPr>
          <w:spacing w:val="-11"/>
          <w:w w:val="95"/>
          <w:sz w:val="32"/>
        </w:rPr>
        <w:t xml:space="preserve">合理用药。遵医嘱按时、按量使用药物，用药过程中如有 </w:t>
      </w:r>
      <w:r>
        <w:rPr>
          <w:spacing w:val="4"/>
          <w:w w:val="95"/>
          <w:sz w:val="32"/>
        </w:rPr>
        <w:t xml:space="preserve">不适及时咨询医生或药师。每次就诊时向医生或药师主动出示 正在使用的药物记录和药物过敏史，避免重复用药或者有害的 </w:t>
      </w:r>
      <w:r>
        <w:rPr>
          <w:spacing w:val="3"/>
          <w:w w:val="95"/>
          <w:sz w:val="32"/>
        </w:rPr>
        <w:t>相互作用等不良事件的发生。服药前检查药品有效期，不使用</w:t>
      </w:r>
    </w:p>
    <w:p>
      <w:pPr>
        <w:spacing w:after="0" w:line="350" w:lineRule="auto"/>
        <w:jc w:val="both"/>
        <w:rPr>
          <w:sz w:val="32"/>
        </w:rPr>
        <w:sectPr>
          <w:pgSz w:w="11910" w:h="16840"/>
          <w:pgMar w:top="1540" w:right="1140" w:bottom="1380" w:left="1400" w:header="0" w:footer="1120" w:gutter="0"/>
        </w:sectPr>
      </w:pPr>
    </w:p>
    <w:p>
      <w:pPr>
        <w:pStyle w:val="3"/>
        <w:spacing w:line="350" w:lineRule="auto"/>
        <w:ind w:firstLine="0"/>
      </w:pPr>
      <w:r>
        <w:rPr>
          <w:w w:val="95"/>
        </w:rPr>
        <w:t xml:space="preserve">过期药品，及时清理家庭中的过期药品。妥善存放药品，谨防 </w:t>
      </w:r>
      <w:r>
        <w:t>儿童接触和误食。保健食品不是药品，正确选用保健食品。</w:t>
      </w:r>
    </w:p>
    <w:p>
      <w:pPr>
        <w:pStyle w:val="10"/>
        <w:numPr>
          <w:ilvl w:val="0"/>
          <w:numId w:val="1"/>
        </w:numPr>
        <w:tabs>
          <w:tab w:val="left" w:pos="1052"/>
        </w:tabs>
        <w:spacing w:before="3" w:after="0" w:line="350" w:lineRule="auto"/>
        <w:ind w:left="171" w:right="270" w:firstLine="638"/>
        <w:jc w:val="left"/>
        <w:rPr>
          <w:sz w:val="32"/>
        </w:rPr>
      </w:pPr>
      <w:r>
        <w:rPr>
          <w:spacing w:val="-10"/>
          <w:sz w:val="32"/>
        </w:rPr>
        <w:t>营造健康家庭环境。家庭成员主动学习健康知识，树立健</w:t>
      </w:r>
      <w:r>
        <w:rPr>
          <w:spacing w:val="4"/>
          <w:sz w:val="32"/>
        </w:rPr>
        <w:t>康理念，养成良好生活方式，互相提醒定期体检，优生优育， 爱老敬老，家庭和谐，崇尚公德，邻里互助，支持公益。有婴幼儿、老人和残疾人的家庭主动参加照护培训，掌握有关护理</w:t>
      </w:r>
      <w:r>
        <w:rPr>
          <w:spacing w:val="-3"/>
          <w:w w:val="95"/>
          <w:sz w:val="32"/>
        </w:rPr>
        <w:t xml:space="preserve">知识和技能。提倡有经消化道传播疾病的患者家庭实行分餐制。 </w:t>
      </w:r>
      <w:r>
        <w:rPr>
          <w:spacing w:val="4"/>
          <w:sz w:val="32"/>
        </w:rPr>
        <w:t>有家族病史的家庭，有针对性地做好预防保健。配备家用急救包（含急救药品、急救设备和急救耗材等）。</w:t>
      </w:r>
    </w:p>
    <w:p>
      <w:pPr>
        <w:pStyle w:val="2"/>
        <w:spacing w:before="9"/>
        <w:rPr>
          <w:rFonts w:hint="eastAsia" w:ascii="仿宋" w:hAnsi="仿宋" w:eastAsia="仿宋"/>
        </w:rPr>
      </w:pPr>
      <w:bookmarkStart w:id="15" w:name="——社会和政府："/>
      <w:bookmarkEnd w:id="15"/>
      <w:r>
        <w:rPr>
          <w:rFonts w:ascii="Times New Roman" w:hAnsi="Times New Roman" w:eastAsia="Times New Roman"/>
        </w:rPr>
        <w:t>——</w:t>
      </w:r>
      <w:r>
        <w:rPr>
          <w:rFonts w:hint="eastAsia" w:ascii="仿宋" w:hAnsi="仿宋" w:eastAsia="仿宋"/>
        </w:rPr>
        <w:t>社会和政府：</w:t>
      </w:r>
    </w:p>
    <w:p>
      <w:pPr>
        <w:pStyle w:val="10"/>
        <w:numPr>
          <w:ilvl w:val="0"/>
          <w:numId w:val="2"/>
        </w:numPr>
        <w:tabs>
          <w:tab w:val="left" w:pos="1052"/>
        </w:tabs>
        <w:spacing w:before="190" w:after="0" w:line="350" w:lineRule="auto"/>
        <w:ind w:left="171" w:right="270" w:firstLine="638"/>
        <w:jc w:val="left"/>
        <w:rPr>
          <w:rFonts w:hint="eastAsia" w:ascii="楷体" w:hAnsi="楷体" w:eastAsia="楷体"/>
          <w:sz w:val="32"/>
        </w:rPr>
      </w:pPr>
      <w:r>
        <w:rPr>
          <w:sz w:val="32"/>
        </w:rPr>
        <w:t>建立并完善健康科普</w:t>
      </w:r>
      <w:r>
        <w:rPr>
          <w:rFonts w:ascii="Times New Roman" w:hAnsi="Times New Roman" w:eastAsia="Times New Roman"/>
          <w:sz w:val="32"/>
        </w:rPr>
        <w:t>“</w:t>
      </w:r>
      <w:r>
        <w:rPr>
          <w:spacing w:val="-7"/>
          <w:sz w:val="32"/>
        </w:rPr>
        <w:t>两库、一机制</w:t>
      </w:r>
      <w:r>
        <w:rPr>
          <w:rFonts w:ascii="Times New Roman" w:hAnsi="Times New Roman" w:eastAsia="Times New Roman"/>
          <w:sz w:val="32"/>
        </w:rPr>
        <w:t>”</w:t>
      </w:r>
      <w:r>
        <w:rPr>
          <w:spacing w:val="-7"/>
          <w:sz w:val="32"/>
        </w:rPr>
        <w:t>。建立并完善国家和</w:t>
      </w:r>
      <w:r>
        <w:rPr>
          <w:spacing w:val="4"/>
          <w:sz w:val="32"/>
        </w:rPr>
        <w:t>省级健康科普专家库，开展健康科普活动。中央级媒体健康科普活动的专家应从国家科普专家库产生，省级媒体应从省级以</w:t>
      </w:r>
      <w:r>
        <w:rPr>
          <w:spacing w:val="-1"/>
          <w:w w:val="95"/>
          <w:sz w:val="32"/>
        </w:rPr>
        <w:t xml:space="preserve">上科普专家库产生。建立并完善国家级健康科普资源库，出版、 </w:t>
      </w:r>
      <w:r>
        <w:rPr>
          <w:spacing w:val="4"/>
          <w:sz w:val="32"/>
        </w:rPr>
        <w:t>遴选、推介一批健康科普读物和科普材料。针对重点人群、重点健康问题组织编制相关知识和信息指南，由专业机构向社会</w:t>
      </w:r>
      <w:r>
        <w:rPr>
          <w:spacing w:val="2"/>
          <w:sz w:val="32"/>
        </w:rPr>
        <w:t>发布。构建全媒体健康科普知识发布和传播的机制，加强对健</w:t>
      </w:r>
      <w:r>
        <w:rPr>
          <w:spacing w:val="4"/>
          <w:sz w:val="32"/>
        </w:rPr>
        <w:t>康教育内容的指导和监管，依托专业力量，加强电视、报刊健康栏目和健康医疗广告的审核和监管，以及对互联网新媒体平台健康科普信息的监测、评估和通报。对于出现问题较多的健康信息平台要依法依规勒令整改，直至关停。对于科学性强、传播效果好的健康信息，予以推广。对于传播范围广、对公众</w:t>
      </w:r>
      <w:r>
        <w:rPr>
          <w:spacing w:val="5"/>
          <w:sz w:val="32"/>
        </w:rPr>
        <w:t>健康危害大的虚假信息，组织专家予以澄清和纠正。</w:t>
      </w:r>
      <w:r>
        <w:rPr>
          <w:rFonts w:hint="eastAsia" w:ascii="楷体" w:hAnsi="楷体" w:eastAsia="楷体"/>
          <w:spacing w:val="5"/>
          <w:sz w:val="32"/>
        </w:rPr>
        <w:t>（</w:t>
      </w:r>
      <w:r>
        <w:rPr>
          <w:rFonts w:hint="eastAsia" w:ascii="楷体" w:hAnsi="楷体" w:eastAsia="楷体"/>
          <w:spacing w:val="4"/>
          <w:sz w:val="32"/>
        </w:rPr>
        <w:t>卫生健</w:t>
      </w:r>
    </w:p>
    <w:p>
      <w:pPr>
        <w:spacing w:after="0" w:line="350" w:lineRule="auto"/>
        <w:jc w:val="left"/>
        <w:rPr>
          <w:rFonts w:hint="eastAsia" w:ascii="楷体" w:hAnsi="楷体" w:eastAsia="楷体"/>
          <w:sz w:val="32"/>
        </w:rPr>
        <w:sectPr>
          <w:pgSz w:w="11910" w:h="16840"/>
          <w:pgMar w:top="1540" w:right="1140" w:bottom="1380" w:left="1400" w:header="0" w:footer="1120" w:gutter="0"/>
        </w:sectPr>
      </w:pPr>
    </w:p>
    <w:p>
      <w:pPr>
        <w:pStyle w:val="3"/>
        <w:spacing w:line="350" w:lineRule="auto"/>
        <w:ind w:right="214" w:firstLine="0"/>
        <w:rPr>
          <w:rFonts w:hint="eastAsia" w:ascii="楷体" w:eastAsia="楷体"/>
        </w:rPr>
      </w:pPr>
      <w:r>
        <w:rPr>
          <w:rFonts w:hint="eastAsia" w:ascii="楷体" w:eastAsia="楷体"/>
        </w:rPr>
        <w:t>康委牵头，中央宣传部、中央网信办、科技部、市场监管总局、广电总局、中医药局、药监局、中国科协按职责分工负责）</w:t>
      </w:r>
    </w:p>
    <w:p>
      <w:pPr>
        <w:pStyle w:val="10"/>
        <w:numPr>
          <w:ilvl w:val="0"/>
          <w:numId w:val="2"/>
        </w:numPr>
        <w:tabs>
          <w:tab w:val="left" w:pos="1052"/>
        </w:tabs>
        <w:spacing w:before="3" w:after="0" w:line="350" w:lineRule="auto"/>
        <w:ind w:left="171" w:right="270" w:firstLine="638"/>
        <w:jc w:val="left"/>
        <w:rPr>
          <w:rFonts w:hint="eastAsia" w:ascii="楷体" w:eastAsia="楷体"/>
          <w:sz w:val="32"/>
        </w:rPr>
      </w:pPr>
      <w:r>
        <w:rPr>
          <w:spacing w:val="-6"/>
          <w:sz w:val="32"/>
        </w:rPr>
        <w:t>医务人员掌握与岗位相适应的健康科普知识，并在诊疗过</w:t>
      </w:r>
      <w:r>
        <w:rPr>
          <w:spacing w:val="4"/>
          <w:sz w:val="32"/>
        </w:rPr>
        <w:t>程中主动提供健康指导。各医疗机构网站要根据本机构特色设置健康科普专栏，为社区居民提供健康讲座和咨询服务，三级医院要组建健康科普队伍，制定健康科普工作计划，建设微博</w:t>
      </w:r>
      <w:r>
        <w:rPr>
          <w:w w:val="95"/>
          <w:sz w:val="32"/>
        </w:rPr>
        <w:t xml:space="preserve">微信新媒体健康科普平台。开发健康教育处方等健康科普材料， </w:t>
      </w:r>
      <w:r>
        <w:rPr>
          <w:spacing w:val="4"/>
          <w:sz w:val="32"/>
        </w:rPr>
        <w:t>定期面向患者举办针对性强的健康知识讲座。完善全科医生、专科医生培养培训课程和教材内容，显著提高家庭医生健康促进与教育必备知识与技能。深入实施中医治未病健康工程，推广普及中医养生保健知识和易于掌握的中医养生保健技术和方</w:t>
      </w:r>
      <w:r>
        <w:rPr>
          <w:spacing w:val="5"/>
          <w:sz w:val="32"/>
        </w:rPr>
        <w:t>法。鼓励健康适龄的公民定期参加无偿献血。</w:t>
      </w:r>
      <w:r>
        <w:rPr>
          <w:rFonts w:hint="eastAsia" w:ascii="楷体" w:eastAsia="楷体"/>
          <w:spacing w:val="5"/>
          <w:sz w:val="32"/>
        </w:rPr>
        <w:t>（</w:t>
      </w:r>
      <w:r>
        <w:rPr>
          <w:rFonts w:hint="eastAsia" w:ascii="楷体" w:eastAsia="楷体"/>
          <w:spacing w:val="4"/>
          <w:sz w:val="32"/>
        </w:rPr>
        <w:t>卫生健康委牵头，教育部、中医药局按职责分工负责）</w:t>
      </w:r>
    </w:p>
    <w:p>
      <w:pPr>
        <w:pStyle w:val="10"/>
        <w:numPr>
          <w:ilvl w:val="0"/>
          <w:numId w:val="2"/>
        </w:numPr>
        <w:tabs>
          <w:tab w:val="left" w:pos="1060"/>
        </w:tabs>
        <w:spacing w:before="15" w:after="0" w:line="350" w:lineRule="auto"/>
        <w:ind w:left="171" w:right="270" w:firstLine="638"/>
        <w:jc w:val="left"/>
        <w:rPr>
          <w:rFonts w:hint="eastAsia" w:ascii="楷体" w:eastAsia="楷体"/>
          <w:sz w:val="32"/>
        </w:rPr>
      </w:pPr>
      <w:r>
        <w:rPr>
          <w:spacing w:val="6"/>
          <w:sz w:val="32"/>
        </w:rPr>
        <w:t>建立鼓励医疗卫生机构和医务人员开展健康促进与教育</w:t>
      </w:r>
      <w:r>
        <w:rPr>
          <w:spacing w:val="4"/>
          <w:sz w:val="32"/>
        </w:rPr>
        <w:t>的激励约束机制，调动医务人员参与健康促进与教育工作的积</w:t>
      </w:r>
      <w:r>
        <w:rPr>
          <w:spacing w:val="-5"/>
          <w:w w:val="95"/>
          <w:sz w:val="32"/>
        </w:rPr>
        <w:t xml:space="preserve">极性。将健康促进与教育工作纳入各级各类医疗机构绩效考核， </w:t>
      </w:r>
      <w:r>
        <w:rPr>
          <w:spacing w:val="4"/>
          <w:sz w:val="32"/>
        </w:rPr>
        <w:t>纳入医务人员职称评定和绩效考核。完善医保支付政策，鼓励基层医疗机构和家庭签约医生团队开展健康管理服务。鼓励和引导个人践行健康生活方式，加强个人健康管理。</w:t>
      </w:r>
      <w:r>
        <w:rPr>
          <w:rFonts w:hint="eastAsia" w:ascii="楷体" w:eastAsia="楷体"/>
          <w:spacing w:val="5"/>
          <w:sz w:val="32"/>
        </w:rPr>
        <w:t>（</w:t>
      </w:r>
      <w:r>
        <w:rPr>
          <w:rFonts w:hint="eastAsia" w:ascii="楷体" w:eastAsia="楷体"/>
          <w:spacing w:val="3"/>
          <w:sz w:val="32"/>
        </w:rPr>
        <w:t>人力资源社会保障部、卫生健康委牵头，医保局按职责负责）</w:t>
      </w:r>
    </w:p>
    <w:p>
      <w:pPr>
        <w:pStyle w:val="10"/>
        <w:numPr>
          <w:ilvl w:val="0"/>
          <w:numId w:val="2"/>
        </w:numPr>
        <w:tabs>
          <w:tab w:val="left" w:pos="1052"/>
        </w:tabs>
        <w:spacing w:before="10" w:after="0" w:line="350" w:lineRule="auto"/>
        <w:ind w:left="171" w:right="429" w:firstLine="638"/>
        <w:jc w:val="both"/>
        <w:rPr>
          <w:sz w:val="32"/>
        </w:rPr>
      </w:pPr>
      <w:r>
        <w:rPr>
          <w:spacing w:val="-11"/>
          <w:sz w:val="32"/>
        </w:rPr>
        <w:t>鼓励、扶持中央广电总台和各省级电台、电视台在条件成</w:t>
      </w:r>
      <w:r>
        <w:rPr>
          <w:spacing w:val="4"/>
          <w:w w:val="95"/>
          <w:sz w:val="32"/>
        </w:rPr>
        <w:t>熟的情况下开办优质健康科普节目。中央广电总台对公益性健 康节目和栏目，在时段、时长上给予倾斜保障，继续办好现有</w:t>
      </w:r>
    </w:p>
    <w:p>
      <w:pPr>
        <w:spacing w:after="0" w:line="350" w:lineRule="auto"/>
        <w:jc w:val="both"/>
        <w:rPr>
          <w:sz w:val="32"/>
        </w:rPr>
        <w:sectPr>
          <w:pgSz w:w="11910" w:h="16840"/>
          <w:pgMar w:top="1540" w:right="1140" w:bottom="1380" w:left="1400" w:header="0" w:footer="1120" w:gutter="0"/>
        </w:sectPr>
      </w:pPr>
    </w:p>
    <w:p>
      <w:pPr>
        <w:pStyle w:val="3"/>
        <w:spacing w:line="350" w:lineRule="auto"/>
        <w:ind w:right="427" w:firstLine="0"/>
        <w:jc w:val="both"/>
        <w:rPr>
          <w:rFonts w:hint="eastAsia" w:ascii="楷体" w:hAnsi="楷体" w:eastAsia="楷体"/>
        </w:rPr>
      </w:pPr>
      <w:r>
        <w:rPr>
          <w:spacing w:val="-2"/>
        </w:rPr>
        <w:t>数字付费电视健康频道。报刊推出一批健康专栏。运用</w:t>
      </w:r>
      <w:r>
        <w:rPr>
          <w:rFonts w:ascii="Times New Roman" w:hAnsi="Times New Roman" w:eastAsia="Times New Roman"/>
        </w:rPr>
        <w:t>“</w:t>
      </w:r>
      <w:r>
        <w:t>两微一</w:t>
      </w:r>
      <w:r>
        <w:rPr>
          <w:w w:val="95"/>
        </w:rPr>
        <w:t>端</w:t>
      </w:r>
      <w:r>
        <w:rPr>
          <w:rFonts w:ascii="Times New Roman" w:hAnsi="Times New Roman" w:eastAsia="Times New Roman"/>
          <w:w w:val="95"/>
        </w:rPr>
        <w:t>”</w:t>
      </w:r>
      <w:r>
        <w:rPr>
          <w:w w:val="95"/>
        </w:rPr>
        <w:t>（</w:t>
      </w:r>
      <w:r>
        <w:rPr>
          <w:spacing w:val="-2"/>
          <w:w w:val="95"/>
        </w:rPr>
        <w:t>指微信、微博、移动客户端</w:t>
      </w:r>
      <w:r>
        <w:rPr>
          <w:spacing w:val="-3"/>
          <w:w w:val="95"/>
        </w:rPr>
        <w:t>）</w:t>
      </w:r>
      <w:r>
        <w:rPr>
          <w:spacing w:val="-1"/>
          <w:w w:val="95"/>
        </w:rPr>
        <w:t xml:space="preserve">以及短视频等新媒体，推动  </w:t>
      </w:r>
      <w:r>
        <w:rPr>
          <w:rFonts w:ascii="Times New Roman" w:hAnsi="Times New Roman" w:eastAsia="Times New Roman"/>
          <w:spacing w:val="-1"/>
        </w:rPr>
        <w:t>“</w:t>
      </w:r>
      <w:r>
        <w:rPr>
          <w:spacing w:val="-1"/>
        </w:rPr>
        <w:t>互联网</w:t>
      </w:r>
      <w:r>
        <w:rPr>
          <w:rFonts w:ascii="Times New Roman" w:hAnsi="Times New Roman" w:eastAsia="Times New Roman"/>
          <w:spacing w:val="-1"/>
        </w:rPr>
        <w:t>+</w:t>
      </w:r>
      <w:r>
        <w:rPr>
          <w:spacing w:val="-1"/>
        </w:rPr>
        <w:t>精准健康科普</w:t>
      </w:r>
      <w:r>
        <w:rPr>
          <w:rFonts w:ascii="Times New Roman" w:hAnsi="Times New Roman" w:eastAsia="Times New Roman"/>
          <w:spacing w:val="-1"/>
        </w:rPr>
        <w:t>”</w:t>
      </w:r>
      <w:r>
        <w:rPr>
          <w:spacing w:val="-10"/>
        </w:rPr>
        <w:t>。</w:t>
      </w:r>
      <w:r>
        <w:rPr>
          <w:rFonts w:hint="eastAsia" w:ascii="楷体" w:hAnsi="楷体" w:eastAsia="楷体"/>
        </w:rPr>
        <w:t>（</w:t>
      </w:r>
      <w:r>
        <w:rPr>
          <w:rFonts w:hint="eastAsia" w:ascii="楷体" w:hAnsi="楷体" w:eastAsia="楷体"/>
          <w:spacing w:val="-2"/>
        </w:rPr>
        <w:t>中央宣传部、中央网信办、卫生健康委、广电总局、中央广电总台、中医药局按职责分工负责）</w:t>
      </w:r>
    </w:p>
    <w:p>
      <w:pPr>
        <w:pStyle w:val="10"/>
        <w:numPr>
          <w:ilvl w:val="0"/>
          <w:numId w:val="2"/>
        </w:numPr>
        <w:tabs>
          <w:tab w:val="left" w:pos="1052"/>
        </w:tabs>
        <w:spacing w:before="5" w:after="0" w:line="350" w:lineRule="auto"/>
        <w:ind w:left="171" w:right="429" w:firstLine="638"/>
        <w:jc w:val="both"/>
        <w:rPr>
          <w:rFonts w:hint="eastAsia" w:ascii="楷体" w:eastAsia="楷体"/>
          <w:sz w:val="32"/>
        </w:rPr>
      </w:pPr>
      <w:r>
        <w:rPr>
          <w:spacing w:val="-6"/>
          <w:sz w:val="32"/>
        </w:rPr>
        <w:t>动员更多的社会力量参与健康知识普及工作。鼓励卫生健</w:t>
      </w:r>
      <w:r>
        <w:rPr>
          <w:spacing w:val="4"/>
          <w:w w:val="95"/>
          <w:sz w:val="32"/>
        </w:rPr>
        <w:t>康行业学会、协会组织专家开展多种形式的、面向公众的健康 科普活动和面向机构的培训工作。各社区和单位要将针对居民 和职工的健康知识普及作为一项重要工作，结合居民和职工的 主要健康问题，组织健康讲座等健康传播活动。加强贫困地区 人口的健康素养促进工作。</w:t>
      </w:r>
      <w:r>
        <w:rPr>
          <w:rFonts w:hint="eastAsia" w:ascii="楷体" w:eastAsia="楷体"/>
          <w:spacing w:val="5"/>
          <w:w w:val="95"/>
          <w:sz w:val="32"/>
        </w:rPr>
        <w:t>（</w:t>
      </w:r>
      <w:r>
        <w:rPr>
          <w:rFonts w:hint="eastAsia" w:ascii="楷体" w:eastAsia="楷体"/>
          <w:spacing w:val="3"/>
          <w:w w:val="95"/>
          <w:sz w:val="32"/>
        </w:rPr>
        <w:t xml:space="preserve">卫生健康委牵头，中医药局、全 </w:t>
      </w:r>
      <w:r>
        <w:rPr>
          <w:rFonts w:hint="eastAsia" w:ascii="楷体" w:eastAsia="楷体"/>
          <w:sz w:val="32"/>
        </w:rPr>
        <w:t>国总工会、全国妇联、中国科协按职责分工负责）</w:t>
      </w:r>
    </w:p>
    <w:p>
      <w:pPr>
        <w:pStyle w:val="10"/>
        <w:numPr>
          <w:ilvl w:val="0"/>
          <w:numId w:val="2"/>
        </w:numPr>
        <w:tabs>
          <w:tab w:val="left" w:pos="1052"/>
        </w:tabs>
        <w:spacing w:before="10" w:after="0" w:line="350" w:lineRule="auto"/>
        <w:ind w:left="171" w:right="314" w:firstLine="638"/>
        <w:jc w:val="left"/>
        <w:rPr>
          <w:rFonts w:hint="eastAsia" w:ascii="楷体" w:eastAsia="楷体"/>
          <w:sz w:val="32"/>
        </w:rPr>
      </w:pPr>
      <w:r>
        <w:rPr>
          <w:sz w:val="32"/>
        </w:rPr>
        <w:t xml:space="preserve">开发推广健康适宜技术和支持工具。发挥市场机制作用， </w:t>
      </w:r>
      <w:r>
        <w:rPr>
          <w:spacing w:val="4"/>
          <w:sz w:val="32"/>
        </w:rPr>
        <w:t>鼓励研发推广健康管理类人工智能和可穿戴设备，充分利用互联网技术，在保护个人隐私的前提下，对健康状态进行实时、连续监测，实现在线实时管理、预警和行为干预，运用健康大</w:t>
      </w:r>
      <w:r>
        <w:rPr>
          <w:spacing w:val="5"/>
          <w:sz w:val="32"/>
        </w:rPr>
        <w:t>数据提高大众自我健康管理能力。</w:t>
      </w:r>
      <w:r>
        <w:rPr>
          <w:rFonts w:hint="eastAsia" w:ascii="楷体" w:eastAsia="楷体"/>
          <w:spacing w:val="5"/>
          <w:sz w:val="32"/>
        </w:rPr>
        <w:t>（</w:t>
      </w:r>
      <w:r>
        <w:rPr>
          <w:rFonts w:hint="eastAsia" w:ascii="楷体" w:eastAsia="楷体"/>
          <w:spacing w:val="4"/>
          <w:sz w:val="32"/>
        </w:rPr>
        <w:t>卫生健康委、科技部、工业和信息化部按职责分工负责）</w:t>
      </w:r>
    </w:p>
    <w:p>
      <w:pPr>
        <w:pStyle w:val="10"/>
        <w:numPr>
          <w:ilvl w:val="0"/>
          <w:numId w:val="2"/>
        </w:numPr>
        <w:tabs>
          <w:tab w:val="left" w:pos="1052"/>
        </w:tabs>
        <w:spacing w:before="8" w:after="0" w:line="350" w:lineRule="auto"/>
        <w:ind w:left="171" w:right="270" w:firstLine="638"/>
        <w:jc w:val="left"/>
        <w:rPr>
          <w:rFonts w:hint="eastAsia" w:ascii="楷体" w:hAnsi="楷体" w:eastAsia="楷体"/>
          <w:sz w:val="32"/>
        </w:rPr>
      </w:pPr>
      <w:r>
        <w:rPr>
          <w:spacing w:val="-5"/>
          <w:sz w:val="32"/>
        </w:rPr>
        <w:t>开展健康促进县</w:t>
      </w:r>
      <w:r>
        <w:rPr>
          <w:sz w:val="32"/>
        </w:rPr>
        <w:t>（区</w:t>
      </w:r>
      <w:r>
        <w:rPr>
          <w:spacing w:val="-29"/>
          <w:sz w:val="32"/>
        </w:rPr>
        <w:t>）</w:t>
      </w:r>
      <w:r>
        <w:rPr>
          <w:spacing w:val="-8"/>
          <w:sz w:val="32"/>
        </w:rPr>
        <w:t>建设，着力提升居民健康素养。国</w:t>
      </w:r>
      <w:r>
        <w:rPr>
          <w:spacing w:val="5"/>
          <w:sz w:val="32"/>
        </w:rPr>
        <w:t>家每年选择一个与群众密切相关的健康主题开展</w:t>
      </w:r>
      <w:r>
        <w:rPr>
          <w:rFonts w:ascii="Times New Roman" w:hAnsi="Times New Roman" w:eastAsia="Times New Roman"/>
          <w:spacing w:val="7"/>
          <w:sz w:val="32"/>
        </w:rPr>
        <w:t>“</w:t>
      </w:r>
      <w:r>
        <w:rPr>
          <w:spacing w:val="6"/>
          <w:sz w:val="32"/>
        </w:rPr>
        <w:t>健康中国行</w:t>
      </w:r>
      <w:r>
        <w:rPr>
          <w:rFonts w:ascii="Times New Roman" w:hAnsi="Times New Roman" w:eastAsia="Times New Roman"/>
          <w:sz w:val="32"/>
        </w:rPr>
        <w:t xml:space="preserve">” </w:t>
      </w:r>
      <w:r>
        <w:rPr>
          <w:spacing w:val="-10"/>
          <w:sz w:val="32"/>
        </w:rPr>
        <w:t>宣传教育活动。开展</w:t>
      </w:r>
      <w:r>
        <w:rPr>
          <w:rFonts w:ascii="Times New Roman" w:hAnsi="Times New Roman" w:eastAsia="Times New Roman"/>
          <w:sz w:val="32"/>
        </w:rPr>
        <w:t>“</w:t>
      </w:r>
      <w:r>
        <w:rPr>
          <w:sz w:val="32"/>
        </w:rPr>
        <w:t>中医中药中国行</w:t>
      </w:r>
      <w:r>
        <w:rPr>
          <w:rFonts w:ascii="Times New Roman" w:hAnsi="Times New Roman" w:eastAsia="Times New Roman"/>
          <w:sz w:val="32"/>
        </w:rPr>
        <w:t>”</w:t>
      </w:r>
      <w:r>
        <w:rPr>
          <w:spacing w:val="-10"/>
          <w:sz w:val="32"/>
        </w:rPr>
        <w:t>活动，推动中医药健康文</w:t>
      </w:r>
      <w:r>
        <w:rPr>
          <w:spacing w:val="-9"/>
          <w:sz w:val="32"/>
        </w:rPr>
        <w:t xml:space="preserve">化普及，传播中医养生保健知识。推进全民健康生活方式行动， </w:t>
      </w:r>
      <w:r>
        <w:rPr>
          <w:spacing w:val="-11"/>
          <w:w w:val="95"/>
          <w:sz w:val="32"/>
        </w:rPr>
        <w:t>强化家庭和高危个体健康生活方式指导和干预。</w:t>
      </w:r>
      <w:r>
        <w:rPr>
          <w:rFonts w:hint="eastAsia" w:ascii="楷体" w:hAnsi="楷体" w:eastAsia="楷体"/>
          <w:w w:val="95"/>
          <w:sz w:val="32"/>
        </w:rPr>
        <w:t xml:space="preserve">（卫生健康委、 </w:t>
      </w:r>
      <w:r>
        <w:rPr>
          <w:rFonts w:hint="eastAsia" w:ascii="楷体" w:hAnsi="楷体" w:eastAsia="楷体"/>
          <w:sz w:val="32"/>
        </w:rPr>
        <w:t>中医药局牵头，中国科协按职责负责）</w:t>
      </w:r>
    </w:p>
    <w:p>
      <w:pPr>
        <w:spacing w:after="0" w:line="350" w:lineRule="auto"/>
        <w:jc w:val="left"/>
        <w:rPr>
          <w:rFonts w:hint="eastAsia" w:ascii="楷体" w:hAnsi="楷体" w:eastAsia="楷体"/>
          <w:sz w:val="32"/>
        </w:rPr>
        <w:sectPr>
          <w:pgSz w:w="11910" w:h="16840"/>
          <w:pgMar w:top="1540" w:right="1140" w:bottom="1380" w:left="1400" w:header="0" w:footer="1120" w:gutter="0"/>
        </w:sectPr>
      </w:pPr>
    </w:p>
    <w:p>
      <w:pPr>
        <w:pStyle w:val="2"/>
        <w:spacing w:before="43"/>
      </w:pPr>
      <w:bookmarkStart w:id="16" w:name="（二）合理膳食行动。"/>
      <w:bookmarkEnd w:id="16"/>
      <w:r>
        <w:t>（二）合理膳食行动。</w:t>
      </w:r>
    </w:p>
    <w:p>
      <w:pPr>
        <w:pStyle w:val="3"/>
        <w:spacing w:before="190" w:line="350" w:lineRule="auto"/>
        <w:ind w:right="266"/>
      </w:pPr>
      <w:r>
        <w:rPr>
          <w:spacing w:val="4"/>
        </w:rPr>
        <w:t>合理膳食是保证健康的基础。近年来，我国居民营养健康状况明显改善，但仍面临营养不足与过剩并存、营养相关疾病多发等问题。</w:t>
      </w:r>
      <w:r>
        <w:rPr>
          <w:rFonts w:ascii="Times New Roman" w:hAnsi="Times New Roman" w:eastAsia="Times New Roman"/>
          <w:spacing w:val="4"/>
        </w:rPr>
        <w:t xml:space="preserve">2012 </w:t>
      </w:r>
      <w:r>
        <w:t>年调查显示，我国居民人均每日食盐摄入量</w:t>
      </w:r>
      <w:r>
        <w:rPr>
          <w:spacing w:val="-42"/>
        </w:rPr>
        <w:t xml:space="preserve">为 </w:t>
      </w:r>
      <w:r>
        <w:rPr>
          <w:rFonts w:ascii="Times New Roman" w:hAnsi="Times New Roman" w:eastAsia="Times New Roman"/>
          <w:spacing w:val="-7"/>
        </w:rPr>
        <w:t>10.5g</w:t>
      </w:r>
      <w:r>
        <w:rPr>
          <w:spacing w:val="-7"/>
        </w:rPr>
        <w:t>（</w:t>
      </w:r>
      <w:r>
        <w:rPr>
          <w:spacing w:val="-8"/>
        </w:rPr>
        <w:t xml:space="preserve">世界卫生组织推荐值为 </w:t>
      </w:r>
      <w:r>
        <w:rPr>
          <w:rFonts w:ascii="Times New Roman" w:hAnsi="Times New Roman" w:eastAsia="Times New Roman"/>
          <w:spacing w:val="-19"/>
        </w:rPr>
        <w:t>5g</w:t>
      </w:r>
      <w:r>
        <w:rPr>
          <w:spacing w:val="-19"/>
        </w:rPr>
        <w:t>）</w:t>
      </w:r>
      <w:r>
        <w:rPr>
          <w:spacing w:val="-5"/>
        </w:rPr>
        <w:t>；居民家庭人均每日食用</w:t>
      </w:r>
      <w:r>
        <w:rPr>
          <w:spacing w:val="-22"/>
        </w:rPr>
        <w:t xml:space="preserve">油摄入量 </w:t>
      </w:r>
      <w:r>
        <w:rPr>
          <w:rFonts w:ascii="Times New Roman" w:hAnsi="Times New Roman" w:eastAsia="Times New Roman"/>
          <w:spacing w:val="-24"/>
        </w:rPr>
        <w:t>42.1g</w:t>
      </w:r>
      <w:r>
        <w:rPr>
          <w:spacing w:val="-24"/>
        </w:rPr>
        <w:t>（</w:t>
      </w:r>
      <w:r>
        <w:rPr>
          <w:spacing w:val="-15"/>
        </w:rPr>
        <w:t>《中国居民膳食指南》</w:t>
      </w:r>
      <w:r>
        <w:t>（</w:t>
      </w:r>
      <w:r>
        <w:rPr>
          <w:spacing w:val="-25"/>
        </w:rPr>
        <w:t>以下简称《膳食指南》</w:t>
      </w:r>
      <w:r>
        <w:t xml:space="preserve">） </w:t>
      </w:r>
      <w:r>
        <w:rPr>
          <w:spacing w:val="-5"/>
        </w:rPr>
        <w:t xml:space="preserve">推荐标准为每天 </w:t>
      </w:r>
      <w:r>
        <w:rPr>
          <w:rFonts w:ascii="Times New Roman" w:hAnsi="Times New Roman" w:eastAsia="Times New Roman"/>
          <w:spacing w:val="5"/>
        </w:rPr>
        <w:t>25</w:t>
      </w:r>
      <w:r>
        <w:rPr>
          <w:spacing w:val="5"/>
        </w:rPr>
        <w:t>～</w:t>
      </w:r>
      <w:r>
        <w:rPr>
          <w:rFonts w:ascii="Times New Roman" w:hAnsi="Times New Roman" w:eastAsia="Times New Roman"/>
          <w:spacing w:val="5"/>
        </w:rPr>
        <w:t>30g</w:t>
      </w:r>
      <w:r>
        <w:rPr>
          <w:spacing w:val="5"/>
        </w:rPr>
        <w:t>）</w:t>
      </w:r>
      <w:r>
        <w:rPr>
          <w:spacing w:val="6"/>
        </w:rPr>
        <w:t>；居民膳食脂肪提供能量比例达到</w:t>
      </w:r>
      <w:r>
        <w:rPr>
          <w:rFonts w:ascii="Times New Roman" w:hAnsi="Times New Roman" w:eastAsia="Times New Roman"/>
          <w:spacing w:val="6"/>
        </w:rPr>
        <w:t>32.9%</w:t>
      </w:r>
      <w:r>
        <w:rPr>
          <w:spacing w:val="6"/>
        </w:rPr>
        <w:t>（</w:t>
      </w:r>
      <w:r>
        <w:rPr>
          <w:spacing w:val="-2"/>
        </w:rPr>
        <w:t xml:space="preserve">《膳食指南》推荐值上限为 </w:t>
      </w:r>
      <w:r>
        <w:rPr>
          <w:rFonts w:ascii="Times New Roman" w:hAnsi="Times New Roman" w:eastAsia="Times New Roman"/>
        </w:rPr>
        <w:t>30.0%</w:t>
      </w:r>
      <w:r>
        <w:t>）</w:t>
      </w:r>
      <w:r>
        <w:rPr>
          <w:spacing w:val="-2"/>
        </w:rPr>
        <w:t>。目前我国人均每</w:t>
      </w:r>
      <w:r>
        <w:rPr>
          <w:spacing w:val="-5"/>
        </w:rPr>
        <w:t>日添加糖</w:t>
      </w:r>
      <w:r>
        <w:t>（主要为蔗糖即</w:t>
      </w:r>
      <w:r>
        <w:rPr>
          <w:rFonts w:ascii="Times New Roman" w:hAnsi="Times New Roman" w:eastAsia="Times New Roman"/>
        </w:rPr>
        <w:t>“</w:t>
      </w:r>
      <w:r>
        <w:t>白糖</w:t>
      </w:r>
      <w:r>
        <w:rPr>
          <w:rFonts w:ascii="Times New Roman" w:hAnsi="Times New Roman" w:eastAsia="Times New Roman"/>
        </w:rPr>
        <w:t>”</w:t>
      </w:r>
      <w:r>
        <w:rPr>
          <w:spacing w:val="-10"/>
        </w:rPr>
        <w:t>、</w:t>
      </w:r>
      <w:r>
        <w:rPr>
          <w:rFonts w:ascii="Times New Roman" w:hAnsi="Times New Roman" w:eastAsia="Times New Roman"/>
        </w:rPr>
        <w:t>“</w:t>
      </w:r>
      <w:r>
        <w:t>红糖</w:t>
      </w:r>
      <w:r>
        <w:rPr>
          <w:rFonts w:ascii="Times New Roman" w:hAnsi="Times New Roman" w:eastAsia="Times New Roman"/>
        </w:rPr>
        <w:t>”</w:t>
      </w:r>
      <w:r>
        <w:t>等</w:t>
      </w:r>
      <w:r>
        <w:rPr>
          <w:spacing w:val="-10"/>
        </w:rPr>
        <w:t>）</w:t>
      </w:r>
      <w:r>
        <w:rPr>
          <w:spacing w:val="-18"/>
        </w:rPr>
        <w:t xml:space="preserve">摄入量约 </w:t>
      </w:r>
      <w:r>
        <w:rPr>
          <w:rFonts w:ascii="Times New Roman" w:hAnsi="Times New Roman" w:eastAsia="Times New Roman"/>
        </w:rPr>
        <w:t>30g</w:t>
      </w:r>
      <w:r>
        <w:t>，其</w:t>
      </w:r>
      <w:r>
        <w:rPr>
          <w:spacing w:val="-21"/>
          <w:w w:val="99"/>
        </w:rPr>
        <w:t>中儿童、青少年摄入量问题值得高度关注。</w:t>
      </w:r>
      <w:r>
        <w:rPr>
          <w:rFonts w:ascii="Times New Roman" w:hAnsi="Times New Roman" w:eastAsia="Times New Roman"/>
          <w:spacing w:val="1"/>
          <w:w w:val="99"/>
        </w:rPr>
        <w:t>20</w:t>
      </w:r>
      <w:r>
        <w:rPr>
          <w:rFonts w:ascii="Times New Roman" w:hAnsi="Times New Roman" w:eastAsia="Times New Roman"/>
          <w:spacing w:val="-2"/>
          <w:w w:val="99"/>
        </w:rPr>
        <w:t>1</w:t>
      </w:r>
      <w:r>
        <w:rPr>
          <w:rFonts w:ascii="Times New Roman" w:hAnsi="Times New Roman" w:eastAsia="Times New Roman"/>
          <w:w w:val="99"/>
        </w:rPr>
        <w:t>4</w:t>
      </w:r>
      <w:r>
        <w:rPr>
          <w:rFonts w:ascii="Times New Roman" w:hAnsi="Times New Roman" w:eastAsia="Times New Roman"/>
        </w:rPr>
        <w:t xml:space="preserve"> </w:t>
      </w:r>
      <w:r>
        <w:rPr>
          <w:spacing w:val="-24"/>
          <w:w w:val="99"/>
        </w:rPr>
        <w:t>年调查显示，</w:t>
      </w:r>
      <w:r>
        <w:rPr>
          <w:rFonts w:ascii="Times New Roman" w:hAnsi="Times New Roman" w:eastAsia="Times New Roman"/>
          <w:spacing w:val="1"/>
          <w:w w:val="99"/>
        </w:rPr>
        <w:t>3</w:t>
      </w:r>
      <w:r>
        <w:rPr>
          <w:w w:val="99"/>
        </w:rPr>
        <w:t xml:space="preserve">～ </w:t>
      </w:r>
      <w:r>
        <w:rPr>
          <w:rFonts w:ascii="Times New Roman" w:hAnsi="Times New Roman" w:eastAsia="Times New Roman"/>
        </w:rPr>
        <w:t xml:space="preserve">17 </w:t>
      </w:r>
      <w:r>
        <w:t>岁常喝饮料的儿童、青少年，仅从饮料中摄入的添加糖提供</w:t>
      </w:r>
      <w:r>
        <w:rPr>
          <w:spacing w:val="-8"/>
        </w:rPr>
        <w:t xml:space="preserve">的能量就超过总能量的 </w:t>
      </w:r>
      <w:r>
        <w:rPr>
          <w:rFonts w:ascii="Times New Roman" w:hAnsi="Times New Roman" w:eastAsia="Times New Roman"/>
          <w:spacing w:val="-10"/>
        </w:rPr>
        <w:t>5%</w:t>
      </w:r>
      <w:r>
        <w:rPr>
          <w:spacing w:val="-5"/>
        </w:rPr>
        <w:t>，城市儿童远远高于农村儿童，且呈</w:t>
      </w:r>
      <w:r>
        <w:rPr>
          <w:spacing w:val="5"/>
        </w:rPr>
        <w:t>上升趋势</w:t>
      </w:r>
      <w:r>
        <w:rPr>
          <w:spacing w:val="7"/>
        </w:rPr>
        <w:t>（</w:t>
      </w:r>
      <w:r>
        <w:rPr>
          <w:spacing w:val="4"/>
        </w:rPr>
        <w:t>世界卫生组织推荐人均每日添加糖摄入低于总能量</w:t>
      </w:r>
      <w:r>
        <w:rPr>
          <w:spacing w:val="-34"/>
        </w:rPr>
        <w:t xml:space="preserve">的 </w:t>
      </w:r>
      <w:r>
        <w:rPr>
          <w:rFonts w:ascii="Times New Roman" w:hAnsi="Times New Roman" w:eastAsia="Times New Roman"/>
          <w:spacing w:val="7"/>
        </w:rPr>
        <w:t>10%</w:t>
      </w:r>
      <w:r>
        <w:rPr>
          <w:spacing w:val="-1"/>
        </w:rPr>
        <w:t xml:space="preserve">，并鼓励控制到 </w:t>
      </w:r>
      <w:r>
        <w:rPr>
          <w:rFonts w:ascii="Times New Roman" w:hAnsi="Times New Roman" w:eastAsia="Times New Roman"/>
          <w:spacing w:val="6"/>
        </w:rPr>
        <w:t>5%</w:t>
      </w:r>
      <w:r>
        <w:rPr>
          <w:spacing w:val="-1"/>
        </w:rPr>
        <w:t xml:space="preserve">以下或不超过 </w:t>
      </w:r>
      <w:r>
        <w:rPr>
          <w:rFonts w:ascii="Times New Roman" w:hAnsi="Times New Roman" w:eastAsia="Times New Roman"/>
          <w:spacing w:val="6"/>
        </w:rPr>
        <w:t>25g</w:t>
      </w:r>
      <w:r>
        <w:rPr>
          <w:spacing w:val="6"/>
        </w:rPr>
        <w:t>）</w:t>
      </w:r>
      <w:r>
        <w:rPr>
          <w:spacing w:val="11"/>
        </w:rPr>
        <w:t xml:space="preserve">。与此同时， </w:t>
      </w:r>
      <w:r>
        <w:rPr>
          <w:rFonts w:ascii="Times New Roman" w:hAnsi="Times New Roman" w:eastAsia="Times New Roman"/>
          <w:spacing w:val="11"/>
        </w:rPr>
        <w:t xml:space="preserve">2010~2012 </w:t>
      </w:r>
      <w:r>
        <w:rPr>
          <w:spacing w:val="-7"/>
        </w:rPr>
        <w:t xml:space="preserve">年，我国成人营养不良率为 </w:t>
      </w:r>
      <w:r>
        <w:rPr>
          <w:rFonts w:ascii="Times New Roman" w:hAnsi="Times New Roman" w:eastAsia="Times New Roman"/>
        </w:rPr>
        <w:t>6%</w:t>
      </w:r>
      <w:r>
        <w:t>；</w:t>
      </w:r>
      <w:r>
        <w:rPr>
          <w:rFonts w:ascii="Times New Roman" w:hAnsi="Times New Roman" w:eastAsia="Times New Roman"/>
        </w:rPr>
        <w:t xml:space="preserve">2013 </w:t>
      </w:r>
      <w:r>
        <w:t>年，</w:t>
      </w:r>
      <w:r>
        <w:rPr>
          <w:rFonts w:ascii="Times New Roman" w:hAnsi="Times New Roman" w:eastAsia="Times New Roman"/>
        </w:rPr>
        <w:t xml:space="preserve">5 </w:t>
      </w:r>
      <w:r>
        <w:t>岁以下</w:t>
      </w:r>
      <w:r>
        <w:rPr>
          <w:spacing w:val="-10"/>
        </w:rPr>
        <w:t xml:space="preserve">儿童生长迟缓率为 </w:t>
      </w:r>
      <w:r>
        <w:rPr>
          <w:rFonts w:ascii="Times New Roman" w:hAnsi="Times New Roman" w:eastAsia="Times New Roman"/>
          <w:spacing w:val="-10"/>
        </w:rPr>
        <w:t>8.1%</w:t>
      </w:r>
      <w:r>
        <w:rPr>
          <w:spacing w:val="-11"/>
        </w:rPr>
        <w:t xml:space="preserve">，孕妇、儿童、老年人群贫血率仍较高， </w:t>
      </w:r>
      <w:r>
        <w:rPr>
          <w:spacing w:val="-12"/>
        </w:rPr>
        <w:t xml:space="preserve">钙、铁、维生素 </w:t>
      </w:r>
      <w:r>
        <w:rPr>
          <w:rFonts w:ascii="Times New Roman" w:hAnsi="Times New Roman" w:eastAsia="Times New Roman"/>
        </w:rPr>
        <w:t>A</w:t>
      </w:r>
      <w:r>
        <w:rPr>
          <w:spacing w:val="-15"/>
        </w:rPr>
        <w:t xml:space="preserve">、维生素 </w:t>
      </w:r>
      <w:r>
        <w:rPr>
          <w:rFonts w:ascii="Times New Roman" w:hAnsi="Times New Roman" w:eastAsia="Times New Roman"/>
        </w:rPr>
        <w:t xml:space="preserve">D </w:t>
      </w:r>
      <w:r>
        <w:t>等微量营养素缺乏依然存在，膳食纤维摄入明显不足。</w:t>
      </w:r>
    </w:p>
    <w:p>
      <w:pPr>
        <w:pStyle w:val="3"/>
        <w:spacing w:before="23" w:line="350" w:lineRule="auto"/>
        <w:ind w:right="210"/>
      </w:pPr>
      <w:r>
        <w:t>高盐、高糖、高脂等不健康饮食是引起肥胖、心脑血管疾病、糖尿病及其他代谢性疾病和肿瘤的危险因素。</w:t>
      </w:r>
      <w:r>
        <w:rPr>
          <w:rFonts w:ascii="Times New Roman" w:eastAsia="Times New Roman"/>
        </w:rPr>
        <w:t xml:space="preserve">2016 </w:t>
      </w:r>
      <w:r>
        <w:t xml:space="preserve">年全球疾病负担研究结果显示，饮食因素导致的疾病负担占到 </w:t>
      </w:r>
      <w:r>
        <w:rPr>
          <w:rFonts w:ascii="Times New Roman" w:eastAsia="Times New Roman"/>
        </w:rPr>
        <w:t>15.9%</w:t>
      </w:r>
      <w:r>
        <w:t>， 已成为影响人群健康的重要危险因素。</w:t>
      </w:r>
      <w:r>
        <w:rPr>
          <w:rFonts w:ascii="Times New Roman" w:eastAsia="Times New Roman"/>
        </w:rPr>
        <w:t xml:space="preserve">2012 </w:t>
      </w:r>
      <w:r>
        <w:t xml:space="preserve">年全国 </w:t>
      </w:r>
      <w:r>
        <w:rPr>
          <w:rFonts w:ascii="Times New Roman" w:eastAsia="Times New Roman"/>
        </w:rPr>
        <w:t xml:space="preserve">18 </w:t>
      </w:r>
      <w:r>
        <w:t xml:space="preserve">岁及以上成人超重率为 </w:t>
      </w:r>
      <w:r>
        <w:rPr>
          <w:rFonts w:ascii="Times New Roman" w:eastAsia="Times New Roman"/>
        </w:rPr>
        <w:t>30.1%</w:t>
      </w:r>
      <w:r>
        <w:t xml:space="preserve">，肥胖率为 </w:t>
      </w:r>
      <w:r>
        <w:rPr>
          <w:rFonts w:ascii="Times New Roman" w:eastAsia="Times New Roman"/>
        </w:rPr>
        <w:t>11.9%</w:t>
      </w:r>
      <w:r>
        <w:t xml:space="preserve">，与 </w:t>
      </w:r>
      <w:r>
        <w:rPr>
          <w:rFonts w:ascii="Times New Roman" w:eastAsia="Times New Roman"/>
        </w:rPr>
        <w:t xml:space="preserve">2002 </w:t>
      </w:r>
      <w:r>
        <w:t>年相比分别增</w:t>
      </w:r>
    </w:p>
    <w:p>
      <w:pPr>
        <w:spacing w:after="0" w:line="350" w:lineRule="auto"/>
        <w:sectPr>
          <w:pgSz w:w="11910" w:h="16840"/>
          <w:pgMar w:top="1540" w:right="1140" w:bottom="1380" w:left="1400" w:header="0" w:footer="1120" w:gutter="0"/>
        </w:sectPr>
      </w:pPr>
    </w:p>
    <w:p>
      <w:pPr>
        <w:pStyle w:val="3"/>
        <w:spacing w:line="350" w:lineRule="auto"/>
        <w:ind w:right="270" w:firstLine="0"/>
      </w:pPr>
      <w:r>
        <w:rPr>
          <w:spacing w:val="-27"/>
        </w:rPr>
        <w:t xml:space="preserve">长了 </w:t>
      </w:r>
      <w:r>
        <w:rPr>
          <w:rFonts w:ascii="Times New Roman" w:eastAsia="Times New Roman"/>
        </w:rPr>
        <w:t>32.0%</w:t>
      </w:r>
      <w:r>
        <w:rPr>
          <w:spacing w:val="-42"/>
        </w:rPr>
        <w:t xml:space="preserve">和 </w:t>
      </w:r>
      <w:r>
        <w:rPr>
          <w:rFonts w:ascii="Times New Roman" w:eastAsia="Times New Roman"/>
          <w:spacing w:val="-6"/>
        </w:rPr>
        <w:t>67.6%</w:t>
      </w:r>
      <w:r>
        <w:rPr>
          <w:spacing w:val="-6"/>
        </w:rPr>
        <w:t>；</w:t>
      </w:r>
      <w:r>
        <w:rPr>
          <w:rFonts w:ascii="Times New Roman" w:eastAsia="Times New Roman"/>
          <w:spacing w:val="-6"/>
        </w:rPr>
        <w:t>6</w:t>
      </w:r>
      <w:r>
        <w:rPr>
          <w:spacing w:val="-6"/>
        </w:rPr>
        <w:t>～</w:t>
      </w:r>
      <w:r>
        <w:rPr>
          <w:rFonts w:ascii="Times New Roman" w:eastAsia="Times New Roman"/>
          <w:spacing w:val="-6"/>
        </w:rPr>
        <w:t xml:space="preserve">17 </w:t>
      </w:r>
      <w:r>
        <w:rPr>
          <w:spacing w:val="-8"/>
        </w:rPr>
        <w:t xml:space="preserve">岁儿童青少年超重率为 </w:t>
      </w:r>
      <w:r>
        <w:rPr>
          <w:rFonts w:ascii="Times New Roman" w:eastAsia="Times New Roman"/>
          <w:spacing w:val="-12"/>
        </w:rPr>
        <w:t>9.6%</w:t>
      </w:r>
      <w:r>
        <w:rPr>
          <w:spacing w:val="-4"/>
        </w:rPr>
        <w:t>，肥胖</w:t>
      </w:r>
      <w:r>
        <w:rPr>
          <w:spacing w:val="-30"/>
        </w:rPr>
        <w:t xml:space="preserve">率为 </w:t>
      </w:r>
      <w:r>
        <w:rPr>
          <w:rFonts w:ascii="Times New Roman" w:eastAsia="Times New Roman"/>
          <w:spacing w:val="-15"/>
        </w:rPr>
        <w:t>6.4%</w:t>
      </w:r>
      <w:r>
        <w:rPr>
          <w:spacing w:val="-33"/>
        </w:rPr>
        <w:t xml:space="preserve">，与 </w:t>
      </w:r>
      <w:r>
        <w:rPr>
          <w:rFonts w:ascii="Times New Roman" w:eastAsia="Times New Roman"/>
        </w:rPr>
        <w:t xml:space="preserve">2002 </w:t>
      </w:r>
      <w:r>
        <w:rPr>
          <w:spacing w:val="-9"/>
        </w:rPr>
        <w:t xml:space="preserve">年相比分别增加了 </w:t>
      </w:r>
      <w:r>
        <w:rPr>
          <w:rFonts w:ascii="Times New Roman" w:eastAsia="Times New Roman"/>
        </w:rPr>
        <w:t xml:space="preserve">1 </w:t>
      </w:r>
      <w:r>
        <w:rPr>
          <w:spacing w:val="-27"/>
        </w:rPr>
        <w:t xml:space="preserve">倍和 </w:t>
      </w:r>
      <w:r>
        <w:rPr>
          <w:rFonts w:ascii="Times New Roman" w:eastAsia="Times New Roman"/>
        </w:rPr>
        <w:t xml:space="preserve">2 </w:t>
      </w:r>
      <w:r>
        <w:rPr>
          <w:spacing w:val="-12"/>
        </w:rPr>
        <w:t>倍。合理膳食以及减少每日食用油、盐、糖摄入量，有助于降低肥胖、糖尿病、</w:t>
      </w:r>
      <w:r>
        <w:t>高血压、脑卒中、冠心病等疾病的患病风险。</w:t>
      </w:r>
    </w:p>
    <w:p>
      <w:pPr>
        <w:pStyle w:val="3"/>
        <w:spacing w:before="5"/>
        <w:ind w:left="810" w:right="0" w:firstLine="0"/>
        <w:rPr>
          <w:rFonts w:hint="eastAsia" w:ascii="黑体" w:eastAsia="黑体"/>
        </w:rPr>
      </w:pPr>
      <w:r>
        <w:rPr>
          <w:rFonts w:hint="eastAsia" w:ascii="黑体" w:eastAsia="黑体"/>
        </w:rPr>
        <w:t>行动目标：</w:t>
      </w:r>
    </w:p>
    <w:p>
      <w:pPr>
        <w:pStyle w:val="3"/>
        <w:spacing w:before="190"/>
        <w:ind w:left="810" w:right="0" w:firstLine="0"/>
      </w:pPr>
      <w:r>
        <w:t xml:space="preserve">到 </w:t>
      </w:r>
      <w:r>
        <w:rPr>
          <w:rFonts w:ascii="Times New Roman" w:eastAsia="Times New Roman"/>
        </w:rPr>
        <w:t xml:space="preserve">2022 </w:t>
      </w:r>
      <w:r>
        <w:t xml:space="preserve">年和 </w:t>
      </w:r>
      <w:r>
        <w:rPr>
          <w:rFonts w:ascii="Times New Roman" w:eastAsia="Times New Roman"/>
        </w:rPr>
        <w:t xml:space="preserve">2030 </w:t>
      </w:r>
      <w:r>
        <w:t>年，成人肥胖增长率持续减缓；居民营</w:t>
      </w:r>
    </w:p>
    <w:p>
      <w:pPr>
        <w:pStyle w:val="3"/>
        <w:spacing w:before="190" w:line="350" w:lineRule="auto"/>
        <w:ind w:right="266" w:firstLine="0"/>
      </w:pPr>
      <w:r>
        <w:rPr>
          <w:spacing w:val="-3"/>
        </w:rPr>
        <w:t xml:space="preserve">养健康知识知晓率分别在 </w:t>
      </w:r>
      <w:r>
        <w:rPr>
          <w:rFonts w:ascii="Times New Roman" w:eastAsia="Times New Roman"/>
        </w:rPr>
        <w:t xml:space="preserve">2019 </w:t>
      </w:r>
      <w:r>
        <w:rPr>
          <w:spacing w:val="-8"/>
        </w:rPr>
        <w:t xml:space="preserve">年基础上提高 </w:t>
      </w:r>
      <w:r>
        <w:rPr>
          <w:rFonts w:ascii="Times New Roman" w:eastAsia="Times New Roman"/>
        </w:rPr>
        <w:t>10%</w:t>
      </w:r>
      <w:r>
        <w:rPr>
          <w:spacing w:val="-25"/>
        </w:rPr>
        <w:t xml:space="preserve">和在 </w:t>
      </w:r>
      <w:r>
        <w:rPr>
          <w:rFonts w:ascii="Times New Roman" w:eastAsia="Times New Roman"/>
        </w:rPr>
        <w:t xml:space="preserve">2022 </w:t>
      </w:r>
      <w:r>
        <w:t>年</w:t>
      </w:r>
      <w:r>
        <w:rPr>
          <w:spacing w:val="-14"/>
        </w:rPr>
        <w:t xml:space="preserve">基础上提高 </w:t>
      </w:r>
      <w:r>
        <w:rPr>
          <w:rFonts w:ascii="Times New Roman" w:eastAsia="Times New Roman"/>
          <w:spacing w:val="-8"/>
        </w:rPr>
        <w:t>10%</w:t>
      </w:r>
      <w:r>
        <w:rPr>
          <w:spacing w:val="-8"/>
        </w:rPr>
        <w:t>；</w:t>
      </w:r>
      <w:r>
        <w:rPr>
          <w:rFonts w:ascii="Times New Roman" w:eastAsia="Times New Roman"/>
          <w:spacing w:val="-8"/>
        </w:rPr>
        <w:t xml:space="preserve">5 </w:t>
      </w:r>
      <w:r>
        <w:rPr>
          <w:spacing w:val="-6"/>
        </w:rPr>
        <w:t xml:space="preserve">岁以下儿童生长迟缓率分别低于 </w:t>
      </w:r>
      <w:r>
        <w:rPr>
          <w:rFonts w:ascii="Times New Roman" w:eastAsia="Times New Roman"/>
        </w:rPr>
        <w:t>7%</w:t>
      </w:r>
      <w:r>
        <w:rPr>
          <w:spacing w:val="-42"/>
        </w:rPr>
        <w:t xml:space="preserve">和 </w:t>
      </w:r>
      <w:r>
        <w:rPr>
          <w:rFonts w:ascii="Times New Roman" w:eastAsia="Times New Roman"/>
        </w:rPr>
        <w:t>5%</w:t>
      </w:r>
      <w:r>
        <w:t>、</w:t>
      </w:r>
      <w:r>
        <w:rPr>
          <w:spacing w:val="-1"/>
          <w:w w:val="99"/>
        </w:rPr>
        <w:t>贫血率分别低于</w:t>
      </w:r>
      <w:r>
        <w:rPr>
          <w:spacing w:val="-81"/>
        </w:rPr>
        <w:t xml:space="preserve"> </w:t>
      </w:r>
      <w:r>
        <w:rPr>
          <w:rFonts w:ascii="Times New Roman" w:eastAsia="Times New Roman"/>
          <w:spacing w:val="1"/>
          <w:w w:val="99"/>
        </w:rPr>
        <w:t>12</w:t>
      </w:r>
      <w:r>
        <w:rPr>
          <w:rFonts w:ascii="Times New Roman" w:eastAsia="Times New Roman"/>
          <w:w w:val="99"/>
        </w:rPr>
        <w:t>%</w:t>
      </w:r>
      <w:r>
        <w:rPr>
          <w:w w:val="99"/>
        </w:rPr>
        <w:t>和</w:t>
      </w:r>
      <w:r>
        <w:rPr>
          <w:spacing w:val="-81"/>
        </w:rPr>
        <w:t xml:space="preserve"> </w:t>
      </w:r>
      <w:r>
        <w:rPr>
          <w:rFonts w:ascii="Times New Roman" w:eastAsia="Times New Roman"/>
          <w:spacing w:val="1"/>
          <w:w w:val="99"/>
        </w:rPr>
        <w:t>10</w:t>
      </w:r>
      <w:r>
        <w:rPr>
          <w:rFonts w:ascii="Times New Roman" w:eastAsia="Times New Roman"/>
          <w:w w:val="99"/>
        </w:rPr>
        <w:t>%</w:t>
      </w:r>
      <w:r>
        <w:rPr>
          <w:spacing w:val="-16"/>
          <w:w w:val="99"/>
        </w:rPr>
        <w:t>，孕妇贫血率分别低于</w:t>
      </w:r>
      <w:r>
        <w:rPr>
          <w:spacing w:val="-79"/>
        </w:rPr>
        <w:t xml:space="preserve"> </w:t>
      </w:r>
      <w:r>
        <w:rPr>
          <w:rFonts w:ascii="Times New Roman" w:eastAsia="Times New Roman"/>
          <w:spacing w:val="1"/>
          <w:w w:val="99"/>
        </w:rPr>
        <w:t>14</w:t>
      </w:r>
      <w:r>
        <w:rPr>
          <w:rFonts w:ascii="Times New Roman" w:eastAsia="Times New Roman"/>
          <w:w w:val="99"/>
        </w:rPr>
        <w:t>%</w:t>
      </w:r>
      <w:r>
        <w:rPr>
          <w:w w:val="99"/>
        </w:rPr>
        <w:t>和</w:t>
      </w:r>
      <w:r>
        <w:rPr>
          <w:spacing w:val="-81"/>
        </w:rPr>
        <w:t xml:space="preserve"> </w:t>
      </w:r>
      <w:r>
        <w:rPr>
          <w:rFonts w:ascii="Times New Roman" w:eastAsia="Times New Roman"/>
          <w:spacing w:val="1"/>
          <w:w w:val="99"/>
        </w:rPr>
        <w:t>10</w:t>
      </w:r>
      <w:r>
        <w:rPr>
          <w:rFonts w:ascii="Times New Roman" w:eastAsia="Times New Roman"/>
          <w:w w:val="99"/>
        </w:rPr>
        <w:t>%</w:t>
      </w:r>
      <w:r>
        <w:rPr>
          <w:w w:val="99"/>
        </w:rPr>
        <w:t>；</w:t>
      </w:r>
      <w:r>
        <w:rPr>
          <w:spacing w:val="7"/>
        </w:rPr>
        <w:t xml:space="preserve">合格碘盐覆盖率均达到 </w:t>
      </w:r>
      <w:r>
        <w:rPr>
          <w:rFonts w:ascii="Times New Roman" w:eastAsia="Times New Roman"/>
          <w:spacing w:val="5"/>
        </w:rPr>
        <w:t>90%</w:t>
      </w:r>
      <w:r>
        <w:rPr>
          <w:spacing w:val="15"/>
        </w:rPr>
        <w:t>及以上；成人脂肪供能比下降到</w:t>
      </w:r>
      <w:r>
        <w:rPr>
          <w:rFonts w:ascii="Times New Roman" w:eastAsia="Times New Roman"/>
          <w:spacing w:val="15"/>
        </w:rPr>
        <w:t>32%</w:t>
      </w:r>
      <w:r>
        <w:rPr>
          <w:spacing w:val="-30"/>
        </w:rPr>
        <w:t xml:space="preserve">和 </w:t>
      </w:r>
      <w:r>
        <w:rPr>
          <w:rFonts w:ascii="Times New Roman" w:eastAsia="Times New Roman"/>
          <w:spacing w:val="3"/>
        </w:rPr>
        <w:t>30%</w:t>
      </w:r>
      <w:r>
        <w:rPr>
          <w:spacing w:val="-25"/>
        </w:rPr>
        <w:t xml:space="preserve">；每 </w:t>
      </w:r>
      <w:r>
        <w:rPr>
          <w:rFonts w:ascii="Times New Roman" w:eastAsia="Times New Roman"/>
        </w:rPr>
        <w:t xml:space="preserve">1 </w:t>
      </w:r>
      <w:r>
        <w:rPr>
          <w:spacing w:val="-12"/>
        </w:rPr>
        <w:t xml:space="preserve">万人配备 </w:t>
      </w:r>
      <w:r>
        <w:rPr>
          <w:rFonts w:ascii="Times New Roman" w:eastAsia="Times New Roman"/>
        </w:rPr>
        <w:t xml:space="preserve">1 </w:t>
      </w:r>
      <w:r>
        <w:rPr>
          <w:spacing w:val="6"/>
        </w:rPr>
        <w:t>名营养指导员；实施农村义务教</w:t>
      </w:r>
      <w:r>
        <w:rPr>
          <w:spacing w:val="4"/>
        </w:rPr>
        <w:t>育学生营养改善计划和贫困地区儿童营养改善项目；实施以食品安全为基础的营养健康标准，推进营养标准体系建设。</w:t>
      </w:r>
    </w:p>
    <w:p>
      <w:pPr>
        <w:pStyle w:val="3"/>
        <w:spacing w:before="10" w:line="350" w:lineRule="auto"/>
        <w:ind w:right="428"/>
        <w:jc w:val="both"/>
        <w:rPr>
          <w:rFonts w:ascii="Times New Roman" w:eastAsia="Times New Roman"/>
        </w:rPr>
      </w:pPr>
      <w:r>
        <w:rPr>
          <w:spacing w:val="-5"/>
        </w:rPr>
        <w:t xml:space="preserve">提倡人均每日食盐摄入量不高于 </w:t>
      </w:r>
      <w:r>
        <w:rPr>
          <w:rFonts w:ascii="Times New Roman" w:eastAsia="Times New Roman"/>
        </w:rPr>
        <w:t>5g</w:t>
      </w:r>
      <w:r>
        <w:t>，成人人均每日食用油</w:t>
      </w:r>
      <w:r>
        <w:rPr>
          <w:spacing w:val="-13"/>
        </w:rPr>
        <w:t xml:space="preserve">摄入量不高于 </w:t>
      </w:r>
      <w:r>
        <w:rPr>
          <w:rFonts w:ascii="Times New Roman" w:eastAsia="Times New Roman"/>
          <w:spacing w:val="-3"/>
        </w:rPr>
        <w:t>25</w:t>
      </w:r>
      <w:r>
        <w:rPr>
          <w:spacing w:val="-3"/>
        </w:rPr>
        <w:t>～</w:t>
      </w:r>
      <w:r>
        <w:rPr>
          <w:rFonts w:ascii="Times New Roman" w:eastAsia="Times New Roman"/>
          <w:spacing w:val="-3"/>
        </w:rPr>
        <w:t>30g</w:t>
      </w:r>
      <w:r>
        <w:rPr>
          <w:spacing w:val="-8"/>
        </w:rPr>
        <w:t xml:space="preserve">，人均每日添加糖摄入量不高于 </w:t>
      </w:r>
      <w:r>
        <w:rPr>
          <w:rFonts w:ascii="Times New Roman" w:eastAsia="Times New Roman"/>
          <w:spacing w:val="-5"/>
        </w:rPr>
        <w:t>25g</w:t>
      </w:r>
      <w:r>
        <w:rPr>
          <w:spacing w:val="-3"/>
        </w:rPr>
        <w:t>，蔬</w:t>
      </w:r>
      <w:r>
        <w:rPr>
          <w:spacing w:val="-10"/>
        </w:rPr>
        <w:t xml:space="preserve">菜和水果每日摄入量不低于 </w:t>
      </w:r>
      <w:r>
        <w:rPr>
          <w:rFonts w:ascii="Times New Roman" w:eastAsia="Times New Roman"/>
          <w:spacing w:val="-7"/>
        </w:rPr>
        <w:t>500g</w:t>
      </w:r>
      <w:r>
        <w:rPr>
          <w:spacing w:val="-10"/>
        </w:rPr>
        <w:t xml:space="preserve">，每日摄入食物种类不少于 </w:t>
      </w:r>
      <w:r>
        <w:rPr>
          <w:rFonts w:ascii="Times New Roman" w:eastAsia="Times New Roman"/>
        </w:rPr>
        <w:t>12</w:t>
      </w:r>
    </w:p>
    <w:p>
      <w:pPr>
        <w:pStyle w:val="3"/>
        <w:spacing w:before="4" w:line="350" w:lineRule="auto"/>
        <w:ind w:right="110" w:firstLine="0"/>
        <w:jc w:val="both"/>
      </w:pPr>
      <w:r>
        <w:rPr>
          <w:spacing w:val="-26"/>
        </w:rPr>
        <w:t xml:space="preserve">种，每周不少于 </w:t>
      </w:r>
      <w:r>
        <w:rPr>
          <w:rFonts w:ascii="Times New Roman" w:eastAsia="Times New Roman"/>
        </w:rPr>
        <w:t xml:space="preserve">25 </w:t>
      </w:r>
      <w:r>
        <w:rPr>
          <w:spacing w:val="-24"/>
        </w:rPr>
        <w:t>种；成年人维持健康体重，将体重指数</w:t>
      </w:r>
      <w:r>
        <w:t>（</w:t>
      </w:r>
      <w:r>
        <w:rPr>
          <w:rFonts w:ascii="Times New Roman" w:eastAsia="Times New Roman"/>
        </w:rPr>
        <w:t>BMI</w:t>
      </w:r>
      <w:r>
        <w:t xml:space="preserve">） </w:t>
      </w:r>
      <w:r>
        <w:rPr>
          <w:w w:val="99"/>
        </w:rPr>
        <w:t>控制在</w:t>
      </w:r>
      <w:r>
        <w:rPr>
          <w:spacing w:val="-88"/>
        </w:rPr>
        <w:t xml:space="preserve"> </w:t>
      </w:r>
      <w:r>
        <w:rPr>
          <w:rFonts w:ascii="Times New Roman" w:eastAsia="Times New Roman"/>
          <w:spacing w:val="1"/>
          <w:w w:val="99"/>
        </w:rPr>
        <w:t>18</w:t>
      </w:r>
      <w:r>
        <w:rPr>
          <w:rFonts w:ascii="Times New Roman" w:eastAsia="Times New Roman"/>
          <w:spacing w:val="-1"/>
          <w:w w:val="99"/>
        </w:rPr>
        <w:t>.</w:t>
      </w:r>
      <w:r>
        <w:rPr>
          <w:rFonts w:ascii="Times New Roman" w:eastAsia="Times New Roman"/>
          <w:spacing w:val="-2"/>
          <w:w w:val="99"/>
        </w:rPr>
        <w:t>5</w:t>
      </w:r>
      <w:r>
        <w:rPr>
          <w:spacing w:val="2"/>
          <w:w w:val="99"/>
        </w:rPr>
        <w:t>～</w:t>
      </w:r>
      <w:r>
        <w:rPr>
          <w:rFonts w:ascii="Times New Roman" w:eastAsia="Times New Roman"/>
          <w:spacing w:val="1"/>
          <w:w w:val="99"/>
        </w:rPr>
        <w:t>2</w:t>
      </w:r>
      <w:r>
        <w:rPr>
          <w:rFonts w:ascii="Times New Roman" w:eastAsia="Times New Roman"/>
          <w:w w:val="99"/>
        </w:rPr>
        <w:t>4</w:t>
      </w:r>
      <w:r>
        <w:rPr>
          <w:rFonts w:ascii="Times New Roman" w:eastAsia="Times New Roman"/>
        </w:rPr>
        <w:t xml:space="preserve"> </w:t>
      </w:r>
      <w:r>
        <w:rPr>
          <w:rFonts w:ascii="Times New Roman" w:eastAsia="Times New Roman"/>
          <w:spacing w:val="1"/>
          <w:w w:val="99"/>
        </w:rPr>
        <w:t>kg</w:t>
      </w:r>
      <w:r>
        <w:rPr>
          <w:rFonts w:ascii="Times New Roman" w:eastAsia="Times New Roman"/>
          <w:spacing w:val="-3"/>
          <w:w w:val="99"/>
        </w:rPr>
        <w:t>/</w:t>
      </w:r>
      <w:r>
        <w:rPr>
          <w:rFonts w:hint="eastAsia" w:ascii="宋体" w:eastAsia="宋体"/>
          <w:spacing w:val="2"/>
          <w:w w:val="99"/>
        </w:rPr>
        <w:t>㎡</w:t>
      </w:r>
      <w:r>
        <w:rPr>
          <w:spacing w:val="-19"/>
          <w:w w:val="99"/>
        </w:rPr>
        <w:t>；成人男性腰围小于</w:t>
      </w:r>
      <w:r>
        <w:rPr>
          <w:spacing w:val="-88"/>
        </w:rPr>
        <w:t xml:space="preserve"> </w:t>
      </w:r>
      <w:r>
        <w:rPr>
          <w:rFonts w:ascii="Times New Roman" w:eastAsia="Times New Roman"/>
          <w:spacing w:val="1"/>
          <w:w w:val="99"/>
        </w:rPr>
        <w:t>85</w:t>
      </w:r>
      <w:r>
        <w:rPr>
          <w:rFonts w:ascii="Times New Roman" w:eastAsia="Times New Roman"/>
          <w:w w:val="99"/>
        </w:rPr>
        <w:t>c</w:t>
      </w:r>
      <w:r>
        <w:rPr>
          <w:rFonts w:ascii="Times New Roman" w:eastAsia="Times New Roman"/>
          <w:spacing w:val="-1"/>
          <w:w w:val="99"/>
        </w:rPr>
        <w:t>m</w:t>
      </w:r>
      <w:r>
        <w:rPr>
          <w:spacing w:val="-32"/>
          <w:w w:val="99"/>
        </w:rPr>
        <w:t>，女性小于</w:t>
      </w:r>
      <w:r>
        <w:rPr>
          <w:spacing w:val="-88"/>
        </w:rPr>
        <w:t xml:space="preserve"> </w:t>
      </w:r>
      <w:r>
        <w:rPr>
          <w:rFonts w:ascii="Times New Roman" w:eastAsia="Times New Roman"/>
          <w:spacing w:val="1"/>
          <w:w w:val="99"/>
        </w:rPr>
        <w:t>80</w:t>
      </w:r>
      <w:r>
        <w:rPr>
          <w:rFonts w:ascii="Times New Roman" w:eastAsia="Times New Roman"/>
          <w:w w:val="99"/>
        </w:rPr>
        <w:t>c</w:t>
      </w:r>
      <w:r>
        <w:rPr>
          <w:rFonts w:ascii="Times New Roman" w:eastAsia="Times New Roman"/>
          <w:spacing w:val="-1"/>
          <w:w w:val="99"/>
        </w:rPr>
        <w:t>m</w:t>
      </w:r>
      <w:r>
        <w:rPr>
          <w:w w:val="99"/>
        </w:rPr>
        <w:t>。</w:t>
      </w:r>
    </w:p>
    <w:p>
      <w:pPr>
        <w:pStyle w:val="2"/>
        <w:spacing w:before="3"/>
        <w:rPr>
          <w:rFonts w:hint="eastAsia" w:ascii="仿宋" w:hAnsi="仿宋" w:eastAsia="仿宋"/>
        </w:rPr>
      </w:pPr>
      <w:bookmarkStart w:id="17" w:name="——个人和家庭："/>
      <w:bookmarkEnd w:id="17"/>
      <w:r>
        <w:rPr>
          <w:rFonts w:ascii="Times New Roman" w:hAnsi="Times New Roman" w:eastAsia="Times New Roman"/>
        </w:rPr>
        <w:t>——</w:t>
      </w:r>
      <w:r>
        <w:rPr>
          <w:rFonts w:hint="eastAsia" w:ascii="仿宋" w:hAnsi="仿宋" w:eastAsia="仿宋"/>
        </w:rPr>
        <w:t>个人和家庭：</w:t>
      </w:r>
    </w:p>
    <w:p>
      <w:pPr>
        <w:pStyle w:val="10"/>
        <w:numPr>
          <w:ilvl w:val="0"/>
          <w:numId w:val="3"/>
        </w:numPr>
        <w:tabs>
          <w:tab w:val="left" w:pos="1052"/>
        </w:tabs>
        <w:spacing w:before="190" w:after="0" w:line="350" w:lineRule="auto"/>
        <w:ind w:left="171" w:right="429" w:firstLine="638"/>
        <w:jc w:val="both"/>
        <w:rPr>
          <w:sz w:val="32"/>
        </w:rPr>
      </w:pPr>
      <w:r>
        <w:rPr>
          <w:spacing w:val="-11"/>
          <w:w w:val="95"/>
          <w:sz w:val="32"/>
        </w:rPr>
        <w:t xml:space="preserve">对于一般人群。学习中国居民膳食科学知识，使用中国居 </w:t>
      </w:r>
      <w:r>
        <w:rPr>
          <w:spacing w:val="4"/>
          <w:w w:val="95"/>
          <w:sz w:val="32"/>
        </w:rPr>
        <w:t xml:space="preserve">民平衡膳食宝塔、平衡膳食餐盘等支持性工具，根据个人特点 合理搭配食物。每天的膳食包括谷薯类、蔬菜水果类、畜禽鱼 </w:t>
      </w:r>
      <w:r>
        <w:rPr>
          <w:spacing w:val="-9"/>
          <w:sz w:val="32"/>
        </w:rPr>
        <w:t xml:space="preserve">蛋奶类、大豆坚果类等食物，平均每天摄入 </w:t>
      </w:r>
      <w:r>
        <w:rPr>
          <w:rFonts w:ascii="Times New Roman" w:eastAsia="Times New Roman"/>
          <w:sz w:val="32"/>
        </w:rPr>
        <w:t>12</w:t>
      </w:r>
      <w:r>
        <w:rPr>
          <w:rFonts w:ascii="Times New Roman" w:eastAsia="Times New Roman"/>
          <w:spacing w:val="-4"/>
          <w:sz w:val="32"/>
        </w:rPr>
        <w:t xml:space="preserve"> </w:t>
      </w:r>
      <w:r>
        <w:rPr>
          <w:spacing w:val="-2"/>
          <w:sz w:val="32"/>
        </w:rPr>
        <w:t>种以上食物，每</w:t>
      </w:r>
    </w:p>
    <w:p>
      <w:pPr>
        <w:spacing w:after="0" w:line="350" w:lineRule="auto"/>
        <w:jc w:val="both"/>
        <w:rPr>
          <w:sz w:val="32"/>
        </w:rPr>
        <w:sectPr>
          <w:pgSz w:w="11910" w:h="16840"/>
          <w:pgMar w:top="1540" w:right="1140" w:bottom="1380" w:left="1400" w:header="0" w:footer="1120" w:gutter="0"/>
        </w:sectPr>
      </w:pPr>
    </w:p>
    <w:p>
      <w:pPr>
        <w:pStyle w:val="3"/>
        <w:spacing w:line="350" w:lineRule="auto"/>
        <w:ind w:right="426" w:firstLine="0"/>
        <w:jc w:val="both"/>
      </w:pPr>
      <w:r>
        <w:rPr>
          <w:spacing w:val="-44"/>
        </w:rPr>
        <w:t xml:space="preserve">周 </w:t>
      </w:r>
      <w:r>
        <w:rPr>
          <w:rFonts w:ascii="Times New Roman" w:eastAsia="Times New Roman"/>
        </w:rPr>
        <w:t>25</w:t>
      </w:r>
      <w:r>
        <w:rPr>
          <w:rFonts w:ascii="Times New Roman" w:eastAsia="Times New Roman"/>
          <w:spacing w:val="-5"/>
        </w:rPr>
        <w:t xml:space="preserve"> </w:t>
      </w:r>
      <w:r>
        <w:rPr>
          <w:spacing w:val="-5"/>
        </w:rPr>
        <w:t>种以上。不能生吃的食材要做熟后食用；生吃蔬菜水果等</w:t>
      </w:r>
      <w:r>
        <w:rPr>
          <w:spacing w:val="4"/>
          <w:w w:val="95"/>
        </w:rPr>
        <w:t xml:space="preserve">食品要洗净。生、熟食品要分开存放和加工。日常用餐时宜细 嚼慢咽，保持心情平和，食不过量，但也要注意避免因过度节 </w:t>
      </w:r>
      <w:r>
        <w:rPr>
          <w:spacing w:val="3"/>
          <w:w w:val="95"/>
        </w:rPr>
        <w:t xml:space="preserve">食影响必要营养素摄入。少吃肥肉、烟熏和腌制肉制品，少吃 </w:t>
      </w:r>
      <w:r>
        <w:rPr>
          <w:spacing w:val="4"/>
          <w:w w:val="95"/>
        </w:rPr>
        <w:t xml:space="preserve">高盐和油炸食品，控制添加糖的摄入量。足量饮水，成年人一 </w:t>
      </w:r>
      <w:r>
        <w:rPr>
          <w:spacing w:val="-25"/>
        </w:rPr>
        <w:t xml:space="preserve">般每天 </w:t>
      </w:r>
      <w:r>
        <w:rPr>
          <w:rFonts w:ascii="Times New Roman" w:eastAsia="Times New Roman"/>
        </w:rPr>
        <w:t>7</w:t>
      </w:r>
      <w:r>
        <w:t>～</w:t>
      </w:r>
      <w:r>
        <w:rPr>
          <w:rFonts w:ascii="Times New Roman" w:eastAsia="Times New Roman"/>
        </w:rPr>
        <w:t>8</w:t>
      </w:r>
      <w:r>
        <w:rPr>
          <w:rFonts w:ascii="Times New Roman" w:eastAsia="Times New Roman"/>
          <w:spacing w:val="-17"/>
        </w:rPr>
        <w:t xml:space="preserve"> </w:t>
      </w:r>
      <w:r>
        <w:rPr>
          <w:spacing w:val="-12"/>
        </w:rPr>
        <w:t>杯</w:t>
      </w:r>
      <w:r>
        <w:t>（</w:t>
      </w:r>
      <w:r>
        <w:rPr>
          <w:rFonts w:ascii="Times New Roman" w:eastAsia="Times New Roman"/>
        </w:rPr>
        <w:t>1500</w:t>
      </w:r>
      <w:r>
        <w:t>～</w:t>
      </w:r>
      <w:r>
        <w:rPr>
          <w:rFonts w:ascii="Times New Roman" w:eastAsia="Times New Roman"/>
        </w:rPr>
        <w:t>1700ml</w:t>
      </w:r>
      <w:r>
        <w:t>）</w:t>
      </w:r>
      <w:r>
        <w:rPr>
          <w:spacing w:val="-1"/>
        </w:rPr>
        <w:t>，提倡饮用白开水或茶水，少喝含糖饮料；儿童少年、孕妇、乳母不应饮酒。</w:t>
      </w:r>
    </w:p>
    <w:p>
      <w:pPr>
        <w:pStyle w:val="10"/>
        <w:numPr>
          <w:ilvl w:val="0"/>
          <w:numId w:val="3"/>
        </w:numPr>
        <w:tabs>
          <w:tab w:val="left" w:pos="1052"/>
        </w:tabs>
        <w:spacing w:before="10" w:after="0" w:line="350" w:lineRule="auto"/>
        <w:ind w:left="171" w:right="110" w:firstLine="638"/>
        <w:jc w:val="left"/>
        <w:rPr>
          <w:sz w:val="32"/>
        </w:rPr>
      </w:pPr>
      <w:r>
        <w:rPr>
          <w:spacing w:val="-33"/>
          <w:w w:val="99"/>
          <w:sz w:val="32"/>
        </w:rPr>
        <w:t>对于超重</w:t>
      </w:r>
      <w:r>
        <w:rPr>
          <w:spacing w:val="-3"/>
          <w:w w:val="99"/>
          <w:sz w:val="32"/>
        </w:rPr>
        <w:t>（</w:t>
      </w:r>
      <w:r>
        <w:rPr>
          <w:rFonts w:ascii="Times New Roman" w:hAnsi="Times New Roman" w:eastAsia="Times New Roman"/>
          <w:spacing w:val="1"/>
          <w:w w:val="99"/>
          <w:sz w:val="32"/>
        </w:rPr>
        <w:t>2</w:t>
      </w:r>
      <w:r>
        <w:rPr>
          <w:rFonts w:ascii="Times New Roman" w:hAnsi="Times New Roman" w:eastAsia="Times New Roman"/>
          <w:w w:val="99"/>
          <w:sz w:val="32"/>
        </w:rPr>
        <w:t>4</w:t>
      </w:r>
      <w:r>
        <w:rPr>
          <w:rFonts w:ascii="Times New Roman" w:hAnsi="Times New Roman" w:eastAsia="Times New Roman"/>
          <w:sz w:val="32"/>
        </w:rPr>
        <w:t xml:space="preserve"> </w:t>
      </w:r>
      <w:r>
        <w:rPr>
          <w:rFonts w:ascii="Times New Roman" w:hAnsi="Times New Roman" w:eastAsia="Times New Roman"/>
          <w:spacing w:val="1"/>
          <w:w w:val="99"/>
          <w:sz w:val="32"/>
        </w:rPr>
        <w:t>kg</w:t>
      </w:r>
      <w:r>
        <w:rPr>
          <w:rFonts w:ascii="Times New Roman" w:hAnsi="Times New Roman" w:eastAsia="Times New Roman"/>
          <w:w w:val="99"/>
          <w:sz w:val="32"/>
        </w:rPr>
        <w:t>/</w:t>
      </w:r>
      <w:r>
        <w:rPr>
          <w:rFonts w:ascii="Times New Roman" w:hAnsi="Times New Roman" w:eastAsia="Times New Roman"/>
          <w:spacing w:val="-1"/>
          <w:w w:val="99"/>
          <w:sz w:val="32"/>
        </w:rPr>
        <w:t>m</w:t>
      </w:r>
      <w:r>
        <w:rPr>
          <w:rFonts w:ascii="Times New Roman" w:hAnsi="Times New Roman" w:eastAsia="Times New Roman"/>
          <w:w w:val="103"/>
          <w:position w:val="11"/>
          <w:sz w:val="20"/>
        </w:rPr>
        <w:t>2</w:t>
      </w:r>
      <w:r>
        <w:rPr>
          <w:rFonts w:ascii="Times New Roman" w:hAnsi="Times New Roman" w:eastAsia="Times New Roman"/>
          <w:w w:val="99"/>
          <w:sz w:val="32"/>
        </w:rPr>
        <w:t>≤B</w:t>
      </w:r>
      <w:r>
        <w:rPr>
          <w:rFonts w:ascii="Times New Roman" w:hAnsi="Times New Roman" w:eastAsia="Times New Roman"/>
          <w:spacing w:val="-1"/>
          <w:w w:val="99"/>
          <w:sz w:val="32"/>
        </w:rPr>
        <w:t>MI</w:t>
      </w:r>
      <w:r>
        <w:rPr>
          <w:rFonts w:ascii="Times New Roman" w:hAnsi="Times New Roman" w:eastAsia="Times New Roman"/>
          <w:spacing w:val="2"/>
          <w:w w:val="99"/>
          <w:sz w:val="32"/>
        </w:rPr>
        <w:t>&lt;</w:t>
      </w:r>
      <w:r>
        <w:rPr>
          <w:rFonts w:ascii="Times New Roman" w:hAnsi="Times New Roman" w:eastAsia="Times New Roman"/>
          <w:spacing w:val="1"/>
          <w:w w:val="99"/>
          <w:sz w:val="32"/>
        </w:rPr>
        <w:t>2</w:t>
      </w:r>
      <w:r>
        <w:rPr>
          <w:rFonts w:ascii="Times New Roman" w:hAnsi="Times New Roman" w:eastAsia="Times New Roman"/>
          <w:w w:val="99"/>
          <w:sz w:val="32"/>
        </w:rPr>
        <w:t>8</w:t>
      </w:r>
      <w:r>
        <w:rPr>
          <w:rFonts w:ascii="Times New Roman" w:hAnsi="Times New Roman" w:eastAsia="Times New Roman"/>
          <w:sz w:val="32"/>
        </w:rPr>
        <w:t xml:space="preserve"> </w:t>
      </w:r>
      <w:r>
        <w:rPr>
          <w:rFonts w:ascii="Times New Roman" w:hAnsi="Times New Roman" w:eastAsia="Times New Roman"/>
          <w:spacing w:val="1"/>
          <w:w w:val="99"/>
          <w:sz w:val="32"/>
        </w:rPr>
        <w:t>kg</w:t>
      </w:r>
      <w:r>
        <w:rPr>
          <w:rFonts w:ascii="Times New Roman" w:hAnsi="Times New Roman" w:eastAsia="Times New Roman"/>
          <w:w w:val="99"/>
          <w:sz w:val="32"/>
        </w:rPr>
        <w:t>/</w:t>
      </w:r>
      <w:r>
        <w:rPr>
          <w:rFonts w:ascii="Times New Roman" w:hAnsi="Times New Roman" w:eastAsia="Times New Roman"/>
          <w:spacing w:val="-1"/>
          <w:w w:val="99"/>
          <w:sz w:val="32"/>
        </w:rPr>
        <w:t>m</w:t>
      </w:r>
      <w:r>
        <w:rPr>
          <w:rFonts w:ascii="Times New Roman" w:hAnsi="Times New Roman" w:eastAsia="Times New Roman"/>
          <w:spacing w:val="2"/>
          <w:w w:val="103"/>
          <w:position w:val="11"/>
          <w:sz w:val="20"/>
        </w:rPr>
        <w:t>2</w:t>
      </w:r>
      <w:r>
        <w:rPr>
          <w:spacing w:val="-137"/>
          <w:w w:val="99"/>
          <w:sz w:val="32"/>
        </w:rPr>
        <w:t>）</w:t>
      </w:r>
      <w:r>
        <w:rPr>
          <w:spacing w:val="-89"/>
          <w:w w:val="99"/>
          <w:sz w:val="32"/>
        </w:rPr>
        <w:t>、肥胖</w:t>
      </w:r>
      <w:r>
        <w:rPr>
          <w:spacing w:val="-3"/>
          <w:w w:val="99"/>
          <w:sz w:val="32"/>
        </w:rPr>
        <w:t>（</w:t>
      </w:r>
      <w:r>
        <w:rPr>
          <w:rFonts w:ascii="Times New Roman" w:hAnsi="Times New Roman" w:eastAsia="Times New Roman"/>
          <w:w w:val="99"/>
          <w:sz w:val="32"/>
        </w:rPr>
        <w:t>B</w:t>
      </w:r>
      <w:r>
        <w:rPr>
          <w:rFonts w:ascii="Times New Roman" w:hAnsi="Times New Roman" w:eastAsia="Times New Roman"/>
          <w:spacing w:val="-1"/>
          <w:w w:val="99"/>
          <w:sz w:val="32"/>
        </w:rPr>
        <w:t>M</w:t>
      </w:r>
      <w:r>
        <w:rPr>
          <w:rFonts w:ascii="Times New Roman" w:hAnsi="Times New Roman" w:eastAsia="Times New Roman"/>
          <w:spacing w:val="1"/>
          <w:w w:val="99"/>
          <w:sz w:val="32"/>
        </w:rPr>
        <w:t>I</w:t>
      </w:r>
      <w:r>
        <w:rPr>
          <w:rFonts w:ascii="Times New Roman" w:hAnsi="Times New Roman" w:eastAsia="Times New Roman"/>
          <w:w w:val="99"/>
          <w:sz w:val="32"/>
        </w:rPr>
        <w:t>≥</w:t>
      </w:r>
      <w:r>
        <w:rPr>
          <w:rFonts w:ascii="Times New Roman" w:hAnsi="Times New Roman" w:eastAsia="Times New Roman"/>
          <w:spacing w:val="1"/>
          <w:w w:val="99"/>
          <w:sz w:val="32"/>
        </w:rPr>
        <w:t>2</w:t>
      </w:r>
      <w:r>
        <w:rPr>
          <w:rFonts w:ascii="Times New Roman" w:hAnsi="Times New Roman" w:eastAsia="Times New Roman"/>
          <w:w w:val="99"/>
          <w:sz w:val="32"/>
        </w:rPr>
        <w:t>8</w:t>
      </w:r>
      <w:r>
        <w:rPr>
          <w:rFonts w:ascii="Times New Roman" w:hAnsi="Times New Roman" w:eastAsia="Times New Roman"/>
          <w:sz w:val="32"/>
        </w:rPr>
        <w:t xml:space="preserve"> </w:t>
      </w:r>
      <w:r>
        <w:rPr>
          <w:rFonts w:ascii="Times New Roman" w:hAnsi="Times New Roman" w:eastAsia="Times New Roman"/>
          <w:spacing w:val="1"/>
          <w:w w:val="99"/>
          <w:sz w:val="32"/>
        </w:rPr>
        <w:t>kg</w:t>
      </w:r>
      <w:r>
        <w:rPr>
          <w:rFonts w:ascii="Times New Roman" w:hAnsi="Times New Roman" w:eastAsia="Times New Roman"/>
          <w:w w:val="99"/>
          <w:sz w:val="32"/>
        </w:rPr>
        <w:t>/</w:t>
      </w:r>
      <w:r>
        <w:rPr>
          <w:rFonts w:ascii="Times New Roman" w:hAnsi="Times New Roman" w:eastAsia="Times New Roman"/>
          <w:spacing w:val="-1"/>
          <w:w w:val="99"/>
          <w:sz w:val="32"/>
        </w:rPr>
        <w:t>m</w:t>
      </w:r>
      <w:r>
        <w:rPr>
          <w:rFonts w:ascii="Times New Roman" w:hAnsi="Times New Roman" w:eastAsia="Times New Roman"/>
          <w:w w:val="103"/>
          <w:position w:val="11"/>
          <w:sz w:val="20"/>
        </w:rPr>
        <w:t>2</w:t>
      </w:r>
      <w:r>
        <w:rPr>
          <w:w w:val="99"/>
          <w:sz w:val="32"/>
        </w:rPr>
        <w:t>）</w:t>
      </w:r>
      <w:r>
        <w:rPr>
          <w:spacing w:val="3"/>
          <w:sz w:val="32"/>
        </w:rPr>
        <w:t>的成年人群。减少能量摄入，增加新鲜蔬菜和水果在膳食中的</w:t>
      </w:r>
      <w:r>
        <w:rPr>
          <w:spacing w:val="5"/>
          <w:sz w:val="32"/>
        </w:rPr>
        <w:t>比重，适当选择一些富含优质蛋白质（</w:t>
      </w:r>
      <w:r>
        <w:rPr>
          <w:spacing w:val="4"/>
          <w:sz w:val="32"/>
        </w:rPr>
        <w:t>如瘦肉、鱼、蛋白和豆</w:t>
      </w:r>
      <w:r>
        <w:rPr>
          <w:spacing w:val="5"/>
          <w:sz w:val="32"/>
        </w:rPr>
        <w:t>类</w:t>
      </w:r>
      <w:r>
        <w:rPr>
          <w:spacing w:val="7"/>
          <w:sz w:val="32"/>
        </w:rPr>
        <w:t>）</w:t>
      </w:r>
      <w:r>
        <w:rPr>
          <w:spacing w:val="4"/>
          <w:sz w:val="32"/>
        </w:rPr>
        <w:t>的食物。避免吃油腻食物和油炸食品，少吃零食和甜食， 不喝或少喝含糖饮料。进食有规律，不要漏餐，不暴饮暴食， 七八分饱即可。</w:t>
      </w:r>
    </w:p>
    <w:p>
      <w:pPr>
        <w:pStyle w:val="10"/>
        <w:numPr>
          <w:ilvl w:val="0"/>
          <w:numId w:val="3"/>
        </w:numPr>
        <w:tabs>
          <w:tab w:val="left" w:pos="1052"/>
        </w:tabs>
        <w:spacing w:before="8" w:after="0" w:line="350" w:lineRule="auto"/>
        <w:ind w:left="171" w:right="427" w:firstLine="638"/>
        <w:jc w:val="both"/>
        <w:rPr>
          <w:sz w:val="32"/>
        </w:rPr>
      </w:pPr>
      <w:r>
        <w:rPr>
          <w:spacing w:val="-12"/>
          <w:sz w:val="32"/>
        </w:rPr>
        <w:t>对于贫血、消瘦等营养不良人群。建议要在合理膳食的基</w:t>
      </w:r>
      <w:r>
        <w:rPr>
          <w:spacing w:val="4"/>
          <w:w w:val="95"/>
          <w:sz w:val="32"/>
        </w:rPr>
        <w:t xml:space="preserve">础上，适当增加瘦肉类、奶蛋类、大豆和豆制品的摄入，保持 </w:t>
      </w:r>
      <w:r>
        <w:rPr>
          <w:spacing w:val="-1"/>
          <w:sz w:val="32"/>
        </w:rPr>
        <w:t xml:space="preserve">膳食的多样性，满足身体对蛋白质、钙、铁、维生素 </w:t>
      </w:r>
      <w:r>
        <w:rPr>
          <w:rFonts w:ascii="Times New Roman" w:eastAsia="Times New Roman"/>
          <w:spacing w:val="7"/>
          <w:sz w:val="32"/>
        </w:rPr>
        <w:t>A</w:t>
      </w:r>
      <w:r>
        <w:rPr>
          <w:spacing w:val="4"/>
          <w:sz w:val="32"/>
        </w:rPr>
        <w:t>、维生</w:t>
      </w:r>
      <w:r>
        <w:rPr>
          <w:spacing w:val="79"/>
          <w:sz w:val="32"/>
        </w:rPr>
        <w:t>素</w:t>
      </w:r>
      <w:r>
        <w:rPr>
          <w:rFonts w:ascii="Times New Roman" w:eastAsia="Times New Roman"/>
          <w:sz w:val="32"/>
        </w:rPr>
        <w:t>D</w:t>
      </w:r>
      <w:r>
        <w:rPr>
          <w:spacing w:val="15"/>
          <w:sz w:val="32"/>
        </w:rPr>
        <w:t>、维生素</w:t>
      </w:r>
      <w:r>
        <w:rPr>
          <w:rFonts w:ascii="Times New Roman" w:eastAsia="Times New Roman"/>
          <w:sz w:val="32"/>
        </w:rPr>
        <w:t>B</w:t>
      </w:r>
      <w:r>
        <w:rPr>
          <w:rFonts w:ascii="Times New Roman" w:eastAsia="Times New Roman"/>
          <w:sz w:val="32"/>
          <w:vertAlign w:val="subscript"/>
        </w:rPr>
        <w:t>12</w:t>
      </w:r>
      <w:r>
        <w:rPr>
          <w:spacing w:val="-6"/>
          <w:sz w:val="32"/>
          <w:vertAlign w:val="baseline"/>
        </w:rPr>
        <w:t>、叶酸等营养素的需求；增加含铁食物的摄入</w:t>
      </w:r>
      <w:r>
        <w:rPr>
          <w:sz w:val="32"/>
          <w:vertAlign w:val="baseline"/>
        </w:rPr>
        <w:t>或者在医生指导下补充铁剂来纠正贫血。</w:t>
      </w:r>
    </w:p>
    <w:p>
      <w:pPr>
        <w:pStyle w:val="10"/>
        <w:numPr>
          <w:ilvl w:val="0"/>
          <w:numId w:val="3"/>
        </w:numPr>
        <w:tabs>
          <w:tab w:val="left" w:pos="1052"/>
        </w:tabs>
        <w:spacing w:before="7" w:after="0" w:line="350" w:lineRule="auto"/>
        <w:ind w:left="171" w:right="393" w:firstLine="638"/>
        <w:jc w:val="both"/>
        <w:rPr>
          <w:sz w:val="32"/>
        </w:rPr>
      </w:pPr>
      <w:r>
        <w:rPr>
          <w:spacing w:val="-8"/>
          <w:sz w:val="32"/>
        </w:rPr>
        <w:t>对于孕产妇和家有婴幼儿的人群。建议学习了解孕期妇女</w:t>
      </w:r>
      <w:r>
        <w:rPr>
          <w:spacing w:val="4"/>
          <w:sz w:val="32"/>
        </w:rPr>
        <w:t>膳食、哺乳期妇女膳食和婴幼儿喂养等相关知识，特别关注生</w:t>
      </w:r>
      <w:r>
        <w:rPr>
          <w:spacing w:val="-18"/>
          <w:sz w:val="32"/>
        </w:rPr>
        <w:t xml:space="preserve">命早期 </w:t>
      </w:r>
      <w:r>
        <w:rPr>
          <w:rFonts w:ascii="Times New Roman" w:eastAsia="Times New Roman"/>
          <w:sz w:val="32"/>
        </w:rPr>
        <w:t>1000</w:t>
      </w:r>
      <w:r>
        <w:rPr>
          <w:rFonts w:ascii="Times New Roman" w:eastAsia="Times New Roman"/>
          <w:spacing w:val="-3"/>
          <w:sz w:val="32"/>
        </w:rPr>
        <w:t xml:space="preserve"> </w:t>
      </w:r>
      <w:r>
        <w:rPr>
          <w:sz w:val="32"/>
        </w:rPr>
        <w:t>天（</w:t>
      </w:r>
      <w:r>
        <w:rPr>
          <w:spacing w:val="-7"/>
          <w:sz w:val="32"/>
        </w:rPr>
        <w:t xml:space="preserve">从怀孕开始到婴儿出生后的 </w:t>
      </w:r>
      <w:r>
        <w:rPr>
          <w:rFonts w:ascii="Times New Roman" w:eastAsia="Times New Roman"/>
          <w:sz w:val="32"/>
        </w:rPr>
        <w:t>2</w:t>
      </w:r>
      <w:r>
        <w:rPr>
          <w:rFonts w:ascii="Times New Roman" w:eastAsia="Times New Roman"/>
          <w:spacing w:val="-3"/>
          <w:sz w:val="32"/>
        </w:rPr>
        <w:t xml:space="preserve"> </w:t>
      </w:r>
      <w:r>
        <w:rPr>
          <w:sz w:val="32"/>
        </w:rPr>
        <w:t>周岁）的营养。</w:t>
      </w:r>
      <w:r>
        <w:rPr>
          <w:spacing w:val="-3"/>
          <w:sz w:val="32"/>
        </w:rPr>
        <w:t xml:space="preserve">孕妇常吃含铁丰富的食物，增加富含优质蛋白质及维生素 </w:t>
      </w:r>
      <w:r>
        <w:rPr>
          <w:rFonts w:ascii="Times New Roman" w:eastAsia="Times New Roman"/>
          <w:sz w:val="32"/>
        </w:rPr>
        <w:t>A</w:t>
      </w:r>
      <w:r>
        <w:rPr>
          <w:rFonts w:ascii="Times New Roman" w:eastAsia="Times New Roman"/>
          <w:spacing w:val="9"/>
          <w:sz w:val="32"/>
        </w:rPr>
        <w:t xml:space="preserve"> </w:t>
      </w:r>
      <w:r>
        <w:rPr>
          <w:sz w:val="32"/>
        </w:rPr>
        <w:t>的</w:t>
      </w:r>
      <w:r>
        <w:rPr>
          <w:spacing w:val="4"/>
          <w:sz w:val="32"/>
        </w:rPr>
        <w:t>动物性食物和海产品，选用碘盐，确保怀孕期间铁、碘、叶酸</w:t>
      </w:r>
    </w:p>
    <w:p>
      <w:pPr>
        <w:spacing w:after="0" w:line="350" w:lineRule="auto"/>
        <w:jc w:val="both"/>
        <w:rPr>
          <w:sz w:val="32"/>
        </w:rPr>
        <w:sectPr>
          <w:footerReference r:id="rId6" w:type="default"/>
          <w:pgSz w:w="11910" w:h="16840"/>
          <w:pgMar w:top="1540" w:right="1140" w:bottom="1380" w:left="1400" w:header="0" w:footer="1200" w:gutter="0"/>
          <w:pgNumType w:start="30"/>
        </w:sectPr>
      </w:pPr>
    </w:p>
    <w:p>
      <w:pPr>
        <w:pStyle w:val="3"/>
        <w:spacing w:line="350" w:lineRule="auto"/>
        <w:ind w:right="432" w:firstLine="0"/>
        <w:jc w:val="both"/>
      </w:pPr>
      <w:r>
        <w:rPr>
          <w:spacing w:val="-2"/>
        </w:rPr>
        <w:t xml:space="preserve">等的足量摄入。尽量纯母乳喂养 </w:t>
      </w:r>
      <w:r>
        <w:rPr>
          <w:rFonts w:ascii="Times New Roman" w:eastAsia="Times New Roman"/>
        </w:rPr>
        <w:t xml:space="preserve">6 </w:t>
      </w:r>
      <w:r>
        <w:rPr>
          <w:spacing w:val="-14"/>
        </w:rPr>
        <w:t xml:space="preserve">个月，为 </w:t>
      </w:r>
      <w:r>
        <w:rPr>
          <w:rFonts w:ascii="Times New Roman" w:eastAsia="Times New Roman"/>
          <w:spacing w:val="2"/>
        </w:rPr>
        <w:t>6</w:t>
      </w:r>
      <w:r>
        <w:rPr>
          <w:spacing w:val="2"/>
        </w:rPr>
        <w:t>～</w:t>
      </w:r>
      <w:r>
        <w:rPr>
          <w:rFonts w:ascii="Times New Roman" w:eastAsia="Times New Roman"/>
          <w:spacing w:val="2"/>
        </w:rPr>
        <w:t xml:space="preserve">24 </w:t>
      </w:r>
      <w:r>
        <w:rPr>
          <w:spacing w:val="1"/>
        </w:rPr>
        <w:t>个月的婴幼</w:t>
      </w:r>
      <w:r>
        <w:t>儿合理添加辅食。</w:t>
      </w:r>
    </w:p>
    <w:p>
      <w:pPr>
        <w:pStyle w:val="10"/>
        <w:numPr>
          <w:ilvl w:val="0"/>
          <w:numId w:val="3"/>
        </w:numPr>
        <w:tabs>
          <w:tab w:val="left" w:pos="1052"/>
        </w:tabs>
        <w:spacing w:before="3" w:after="0" w:line="350" w:lineRule="auto"/>
        <w:ind w:left="171" w:right="429" w:firstLine="638"/>
        <w:jc w:val="both"/>
        <w:rPr>
          <w:sz w:val="32"/>
        </w:rPr>
      </w:pPr>
      <w:r>
        <w:rPr>
          <w:spacing w:val="-10"/>
          <w:w w:val="95"/>
          <w:sz w:val="32"/>
        </w:rPr>
        <w:t xml:space="preserve">对于家庭。提倡按需购买食物，合理储存；选择新鲜、卫 </w:t>
      </w:r>
      <w:r>
        <w:rPr>
          <w:spacing w:val="4"/>
          <w:w w:val="95"/>
          <w:sz w:val="32"/>
        </w:rPr>
        <w:t xml:space="preserve">生、当季的食物，采取适宜的烹调方式；按需备餐，小份量食 物；学会选购食品看标签；在外点餐根据人数确定数量，集体 用餐时采取分餐、简餐、份饭；倡导在家吃饭，与家人一起分 </w:t>
      </w:r>
      <w:r>
        <w:rPr>
          <w:sz w:val="32"/>
        </w:rPr>
        <w:t>享食物和享受亲情，传承和发扬我国优良饮食文化。</w:t>
      </w:r>
    </w:p>
    <w:p>
      <w:pPr>
        <w:pStyle w:val="2"/>
        <w:spacing w:before="7"/>
        <w:rPr>
          <w:rFonts w:hint="eastAsia" w:ascii="仿宋" w:hAnsi="仿宋" w:eastAsia="仿宋"/>
        </w:rPr>
      </w:pPr>
      <w:bookmarkStart w:id="18" w:name="——社会："/>
      <w:bookmarkEnd w:id="18"/>
      <w:r>
        <w:rPr>
          <w:rFonts w:ascii="Times New Roman" w:hAnsi="Times New Roman" w:eastAsia="Times New Roman"/>
        </w:rPr>
        <w:t>——</w:t>
      </w:r>
      <w:r>
        <w:rPr>
          <w:rFonts w:hint="eastAsia" w:ascii="仿宋" w:hAnsi="仿宋" w:eastAsia="仿宋"/>
        </w:rPr>
        <w:t>社会：</w:t>
      </w:r>
    </w:p>
    <w:p>
      <w:pPr>
        <w:pStyle w:val="10"/>
        <w:numPr>
          <w:ilvl w:val="0"/>
          <w:numId w:val="4"/>
        </w:numPr>
        <w:tabs>
          <w:tab w:val="left" w:pos="1052"/>
        </w:tabs>
        <w:spacing w:before="189" w:after="0" w:line="350" w:lineRule="auto"/>
        <w:ind w:left="171" w:right="427" w:firstLine="638"/>
        <w:jc w:val="both"/>
        <w:rPr>
          <w:sz w:val="32"/>
        </w:rPr>
      </w:pPr>
      <w:r>
        <w:rPr>
          <w:spacing w:val="-8"/>
          <w:sz w:val="32"/>
        </w:rPr>
        <w:t>推动营养健康科普宣教活动常态化，鼓励全社会共同参与</w:t>
      </w:r>
      <w:r>
        <w:rPr>
          <w:spacing w:val="-12"/>
          <w:w w:val="95"/>
          <w:sz w:val="32"/>
        </w:rPr>
        <w:t>全民营养周、</w:t>
      </w:r>
      <w:r>
        <w:rPr>
          <w:rFonts w:ascii="Times New Roman" w:hAnsi="Times New Roman" w:eastAsia="Times New Roman"/>
          <w:w w:val="95"/>
          <w:sz w:val="32"/>
        </w:rPr>
        <w:t>“</w:t>
      </w:r>
      <w:r>
        <w:rPr>
          <w:w w:val="95"/>
          <w:sz w:val="32"/>
        </w:rPr>
        <w:t>三减三健</w:t>
      </w:r>
      <w:r>
        <w:rPr>
          <w:rFonts w:ascii="Times New Roman" w:hAnsi="Times New Roman" w:eastAsia="Times New Roman"/>
          <w:spacing w:val="-14"/>
          <w:w w:val="95"/>
          <w:sz w:val="32"/>
        </w:rPr>
        <w:t>”</w:t>
      </w:r>
      <w:r>
        <w:rPr>
          <w:spacing w:val="-14"/>
          <w:w w:val="95"/>
          <w:sz w:val="32"/>
        </w:rPr>
        <w:t>（</w:t>
      </w:r>
      <w:r>
        <w:rPr>
          <w:spacing w:val="-11"/>
          <w:w w:val="95"/>
          <w:sz w:val="32"/>
        </w:rPr>
        <w:t xml:space="preserve">减盐、减油、减糖，健康口腔、健康 </w:t>
      </w:r>
      <w:r>
        <w:rPr>
          <w:spacing w:val="-10"/>
          <w:sz w:val="32"/>
        </w:rPr>
        <w:t>体重、健康骨骼</w:t>
      </w:r>
      <w:r>
        <w:rPr>
          <w:spacing w:val="-39"/>
          <w:sz w:val="32"/>
        </w:rPr>
        <w:t>）</w:t>
      </w:r>
      <w:r>
        <w:rPr>
          <w:spacing w:val="-6"/>
          <w:sz w:val="32"/>
        </w:rPr>
        <w:t>等宣教活动。推广使用健康</w:t>
      </w:r>
      <w:r>
        <w:rPr>
          <w:rFonts w:ascii="Times New Roman" w:hAnsi="Times New Roman" w:eastAsia="Times New Roman"/>
          <w:sz w:val="32"/>
        </w:rPr>
        <w:t>“</w:t>
      </w:r>
      <w:r>
        <w:rPr>
          <w:sz w:val="32"/>
        </w:rPr>
        <w:t>小三件</w:t>
      </w:r>
      <w:r>
        <w:rPr>
          <w:rFonts w:ascii="Times New Roman" w:hAnsi="Times New Roman" w:eastAsia="Times New Roman"/>
          <w:spacing w:val="-21"/>
          <w:sz w:val="32"/>
        </w:rPr>
        <w:t>”</w:t>
      </w:r>
      <w:r>
        <w:rPr>
          <w:spacing w:val="-21"/>
          <w:sz w:val="32"/>
        </w:rPr>
        <w:t>（</w:t>
      </w:r>
      <w:r>
        <w:rPr>
          <w:sz w:val="32"/>
        </w:rPr>
        <w:t>限量盐</w:t>
      </w:r>
      <w:r>
        <w:rPr>
          <w:spacing w:val="5"/>
          <w:w w:val="95"/>
          <w:sz w:val="32"/>
        </w:rPr>
        <w:t>勺、限量油壶和健康腰围尺）</w:t>
      </w:r>
      <w:r>
        <w:rPr>
          <w:spacing w:val="3"/>
          <w:w w:val="95"/>
          <w:sz w:val="32"/>
        </w:rPr>
        <w:t xml:space="preserve">，提高家庭普及率，鼓励专业行 </w:t>
      </w:r>
      <w:r>
        <w:rPr>
          <w:spacing w:val="4"/>
          <w:w w:val="95"/>
          <w:sz w:val="32"/>
        </w:rPr>
        <w:t xml:space="preserve">业组织指导家庭正确使用。尽快研究制定我国儿童添加蔗糖摄 </w:t>
      </w:r>
      <w:r>
        <w:rPr>
          <w:sz w:val="32"/>
        </w:rPr>
        <w:t>入的限量指导，倡导天然甜味物质和甜味剂饮料替代饮用。</w:t>
      </w:r>
    </w:p>
    <w:p>
      <w:pPr>
        <w:pStyle w:val="10"/>
        <w:numPr>
          <w:ilvl w:val="0"/>
          <w:numId w:val="4"/>
        </w:numPr>
        <w:tabs>
          <w:tab w:val="left" w:pos="1052"/>
        </w:tabs>
        <w:spacing w:before="9" w:after="0" w:line="350" w:lineRule="auto"/>
        <w:ind w:left="171" w:right="429" w:firstLine="638"/>
        <w:jc w:val="both"/>
        <w:rPr>
          <w:sz w:val="32"/>
        </w:rPr>
      </w:pPr>
      <w:r>
        <w:rPr>
          <w:spacing w:val="-7"/>
          <w:sz w:val="32"/>
        </w:rPr>
        <w:t>加强对食品企业的营养标签知识指导，指导消费者正确认</w:t>
      </w:r>
      <w:r>
        <w:rPr>
          <w:spacing w:val="4"/>
          <w:w w:val="95"/>
          <w:sz w:val="32"/>
        </w:rPr>
        <w:t xml:space="preserve">读营养标签，提高居民营养标签知晓率。鼓励消费者减少蔗糖 摄入量。倡导食品生产经营者使用食品安全标准允许使用的天 然甜味物质和甜味剂取代蔗糖。科学减少加工食品中的蔗糖含 量。提倡城市高糖摄入人群减少食用含蔗糖饮料和甜食，选择 </w:t>
      </w:r>
      <w:r>
        <w:rPr>
          <w:sz w:val="32"/>
        </w:rPr>
        <w:t>天然甜味物质和甜味剂替代蔗糖生产的饮料和食品。</w:t>
      </w:r>
    </w:p>
    <w:p>
      <w:pPr>
        <w:pStyle w:val="10"/>
        <w:numPr>
          <w:ilvl w:val="0"/>
          <w:numId w:val="4"/>
        </w:numPr>
        <w:tabs>
          <w:tab w:val="left" w:pos="1052"/>
        </w:tabs>
        <w:spacing w:before="8" w:after="0" w:line="350" w:lineRule="auto"/>
        <w:ind w:left="171" w:right="233" w:firstLine="638"/>
        <w:jc w:val="both"/>
        <w:rPr>
          <w:sz w:val="32"/>
        </w:rPr>
      </w:pPr>
      <w:r>
        <w:rPr>
          <w:spacing w:val="-11"/>
          <w:sz w:val="32"/>
        </w:rPr>
        <w:t>鼓励生产、销售低钠盐，并在专家指导下推广使用。做好</w:t>
      </w:r>
      <w:r>
        <w:rPr>
          <w:spacing w:val="5"/>
          <w:sz w:val="32"/>
        </w:rPr>
        <w:t>低钠盐慎用人群</w:t>
      </w:r>
      <w:r>
        <w:rPr>
          <w:spacing w:val="7"/>
          <w:sz w:val="32"/>
        </w:rPr>
        <w:t>（</w:t>
      </w:r>
      <w:r>
        <w:rPr>
          <w:spacing w:val="4"/>
          <w:sz w:val="32"/>
        </w:rPr>
        <w:t>高温作业者、重体力劳动强度工作者、肾功能障碍者及服用降压药物的高血压患者等不适宜高钾摄入人群）</w:t>
      </w:r>
    </w:p>
    <w:p>
      <w:pPr>
        <w:spacing w:after="0" w:line="350" w:lineRule="auto"/>
        <w:jc w:val="both"/>
        <w:rPr>
          <w:sz w:val="32"/>
        </w:rPr>
        <w:sectPr>
          <w:pgSz w:w="11910" w:h="16840"/>
          <w:pgMar w:top="1540" w:right="1140" w:bottom="1380" w:left="1400" w:header="0" w:footer="1200" w:gutter="0"/>
        </w:sectPr>
      </w:pPr>
    </w:p>
    <w:p>
      <w:pPr>
        <w:pStyle w:val="3"/>
        <w:spacing w:line="350" w:lineRule="auto"/>
        <w:ind w:right="270" w:firstLine="0"/>
      </w:pPr>
      <w:r>
        <w:rPr>
          <w:spacing w:val="4"/>
        </w:rPr>
        <w:t>提示预警。引导企业在食盐、食用油生产销售中配套用量控制</w:t>
      </w:r>
      <w:r>
        <w:rPr>
          <w:spacing w:val="-78"/>
          <w:w w:val="99"/>
        </w:rPr>
        <w:t>措施</w:t>
      </w:r>
      <w:r>
        <w:rPr>
          <w:w w:val="99"/>
        </w:rPr>
        <w:t>（如在盐袋中赠送</w:t>
      </w:r>
      <w:r>
        <w:rPr>
          <w:spacing w:val="-98"/>
        </w:rPr>
        <w:t xml:space="preserve"> </w:t>
      </w:r>
      <w:r>
        <w:rPr>
          <w:rFonts w:ascii="Times New Roman" w:eastAsia="Times New Roman"/>
          <w:spacing w:val="1"/>
          <w:w w:val="99"/>
        </w:rPr>
        <w:t>2</w:t>
      </w:r>
      <w:r>
        <w:rPr>
          <w:rFonts w:ascii="Times New Roman" w:eastAsia="Times New Roman"/>
          <w:w w:val="99"/>
        </w:rPr>
        <w:t>g</w:t>
      </w:r>
      <w:r>
        <w:rPr>
          <w:rFonts w:ascii="Times New Roman" w:eastAsia="Times New Roman"/>
        </w:rPr>
        <w:t xml:space="preserve"> </w:t>
      </w:r>
      <w:r>
        <w:rPr>
          <w:spacing w:val="-14"/>
          <w:w w:val="99"/>
        </w:rPr>
        <w:t>量勺、生产限量油壶和带刻度油壶等</w:t>
      </w:r>
      <w:r>
        <w:rPr>
          <w:spacing w:val="-159"/>
          <w:w w:val="99"/>
        </w:rPr>
        <w:t>）</w:t>
      </w:r>
      <w:r>
        <w:rPr>
          <w:w w:val="99"/>
        </w:rPr>
        <w:t>，</w:t>
      </w:r>
      <w:r>
        <w:rPr>
          <w:spacing w:val="5"/>
        </w:rPr>
        <w:t>鼓励有条件的地方先行试点。鼓励商店</w:t>
      </w:r>
      <w:r>
        <w:rPr>
          <w:spacing w:val="7"/>
        </w:rPr>
        <w:t>（</w:t>
      </w:r>
      <w:r>
        <w:rPr>
          <w:spacing w:val="5"/>
        </w:rPr>
        <w:t>超市</w:t>
      </w:r>
      <w:r>
        <w:rPr>
          <w:spacing w:val="7"/>
        </w:rPr>
        <w:t>）</w:t>
      </w:r>
      <w:r>
        <w:rPr>
          <w:spacing w:val="4"/>
        </w:rPr>
        <w:t>开设低脂、低盐、低糖食品专柜。</w:t>
      </w:r>
    </w:p>
    <w:p>
      <w:pPr>
        <w:pStyle w:val="10"/>
        <w:numPr>
          <w:ilvl w:val="0"/>
          <w:numId w:val="4"/>
        </w:numPr>
        <w:tabs>
          <w:tab w:val="left" w:pos="1052"/>
        </w:tabs>
        <w:spacing w:before="5" w:after="0" w:line="350" w:lineRule="auto"/>
        <w:ind w:left="171" w:right="429" w:firstLine="638"/>
        <w:jc w:val="both"/>
        <w:rPr>
          <w:sz w:val="32"/>
        </w:rPr>
      </w:pPr>
      <w:r>
        <w:rPr>
          <w:spacing w:val="-8"/>
          <w:sz w:val="32"/>
        </w:rPr>
        <w:t>鼓励食堂和餐厅配备专兼职营养师，定期对管理和从业人</w:t>
      </w:r>
      <w:r>
        <w:rPr>
          <w:spacing w:val="4"/>
          <w:w w:val="95"/>
          <w:sz w:val="32"/>
        </w:rPr>
        <w:t xml:space="preserve">员开展营养、平衡膳食和食品安全相关的技能培训、考核；提 前在显著位置公布食谱，标注份量和营养素含量并简要描述营 </w:t>
      </w:r>
      <w:r>
        <w:rPr>
          <w:sz w:val="32"/>
        </w:rPr>
        <w:t>养成分；鼓励为不同营养状况的人群推荐相应食谱。</w:t>
      </w:r>
    </w:p>
    <w:p>
      <w:pPr>
        <w:pStyle w:val="10"/>
        <w:numPr>
          <w:ilvl w:val="0"/>
          <w:numId w:val="4"/>
        </w:numPr>
        <w:tabs>
          <w:tab w:val="left" w:pos="1052"/>
        </w:tabs>
        <w:spacing w:before="6" w:after="0" w:line="350" w:lineRule="auto"/>
        <w:ind w:left="171" w:right="429" w:firstLine="638"/>
        <w:jc w:val="both"/>
        <w:rPr>
          <w:sz w:val="32"/>
        </w:rPr>
      </w:pPr>
      <w:r>
        <w:rPr>
          <w:spacing w:val="-7"/>
          <w:sz w:val="32"/>
        </w:rPr>
        <w:t>制定实施集体供餐单位营养操作规范，开展示范健康食堂</w:t>
      </w:r>
      <w:r>
        <w:rPr>
          <w:spacing w:val="4"/>
          <w:w w:val="95"/>
          <w:sz w:val="32"/>
        </w:rPr>
        <w:t xml:space="preserve">和健康餐厅创建活动。鼓励餐饮业、集体食堂向消费者提供营 养标识。鼓励发布适合不同年龄、不同地域人群的平衡膳食指 导和食谱。鼓励发展传统食养服务，推进传统食养产品的研发 </w:t>
      </w:r>
      <w:r>
        <w:rPr>
          <w:sz w:val="32"/>
        </w:rPr>
        <w:t>以及产业升级换代。</w:t>
      </w:r>
    </w:p>
    <w:p>
      <w:pPr>
        <w:pStyle w:val="2"/>
        <w:spacing w:before="7"/>
        <w:rPr>
          <w:rFonts w:hint="eastAsia" w:ascii="仿宋" w:hAnsi="仿宋" w:eastAsia="仿宋"/>
        </w:rPr>
      </w:pPr>
      <w:bookmarkStart w:id="19" w:name="——政府："/>
      <w:bookmarkEnd w:id="19"/>
      <w:r>
        <w:rPr>
          <w:rFonts w:ascii="Times New Roman" w:hAnsi="Times New Roman" w:eastAsia="Times New Roman"/>
        </w:rPr>
        <w:t>——</w:t>
      </w:r>
      <w:r>
        <w:rPr>
          <w:rFonts w:hint="eastAsia" w:ascii="仿宋" w:hAnsi="仿宋" w:eastAsia="仿宋"/>
        </w:rPr>
        <w:t>政府：</w:t>
      </w:r>
    </w:p>
    <w:p>
      <w:pPr>
        <w:pStyle w:val="10"/>
        <w:numPr>
          <w:ilvl w:val="0"/>
          <w:numId w:val="5"/>
        </w:numPr>
        <w:tabs>
          <w:tab w:val="left" w:pos="1058"/>
        </w:tabs>
        <w:spacing w:before="190" w:after="0" w:line="350" w:lineRule="auto"/>
        <w:ind w:left="171" w:right="270" w:firstLine="638"/>
        <w:jc w:val="left"/>
        <w:rPr>
          <w:rFonts w:hint="eastAsia" w:ascii="楷体" w:hAnsi="楷体" w:eastAsia="楷体"/>
          <w:sz w:val="32"/>
        </w:rPr>
      </w:pPr>
      <w:r>
        <w:rPr>
          <w:spacing w:val="6"/>
          <w:sz w:val="32"/>
        </w:rPr>
        <w:t>全面推动实施《国民营养计划</w:t>
      </w:r>
      <w:r>
        <w:rPr>
          <w:sz w:val="32"/>
        </w:rPr>
        <w:t>（</w:t>
      </w:r>
      <w:r>
        <w:rPr>
          <w:rFonts w:ascii="Times New Roman" w:hAnsi="Times New Roman" w:eastAsia="Times New Roman"/>
          <w:sz w:val="32"/>
        </w:rPr>
        <w:t>2017—2030</w:t>
      </w:r>
      <w:r>
        <w:rPr>
          <w:rFonts w:ascii="Times New Roman" w:hAnsi="Times New Roman" w:eastAsia="Times New Roman"/>
          <w:spacing w:val="-1"/>
          <w:sz w:val="32"/>
        </w:rPr>
        <w:t xml:space="preserve"> </w:t>
      </w:r>
      <w:r>
        <w:rPr>
          <w:spacing w:val="7"/>
          <w:sz w:val="32"/>
        </w:rPr>
        <w:t>年）</w:t>
      </w:r>
      <w:r>
        <w:rPr>
          <w:spacing w:val="4"/>
          <w:sz w:val="32"/>
        </w:rPr>
        <w:t>》，因</w:t>
      </w:r>
      <w:r>
        <w:rPr>
          <w:sz w:val="32"/>
        </w:rPr>
        <w:t xml:space="preserve">地制宜开展营养和膳食指导。实施贫困地区重点人群营养干预， </w:t>
      </w:r>
      <w:r>
        <w:rPr>
          <w:spacing w:val="4"/>
          <w:sz w:val="32"/>
        </w:rPr>
        <w:t>将营养干预纳入健康扶贫工作。继续推进实施农村义务教育学</w:t>
      </w:r>
      <w:r>
        <w:rPr>
          <w:spacing w:val="5"/>
          <w:sz w:val="32"/>
        </w:rPr>
        <w:t>生营养改善计划和贫困地区儿童营养改善项目。</w:t>
      </w:r>
      <w:r>
        <w:rPr>
          <w:rFonts w:hint="eastAsia" w:ascii="楷体" w:hAnsi="楷体" w:eastAsia="楷体"/>
          <w:spacing w:val="5"/>
          <w:sz w:val="32"/>
        </w:rPr>
        <w:t>（</w:t>
      </w:r>
      <w:r>
        <w:rPr>
          <w:rFonts w:hint="eastAsia" w:ascii="楷体" w:hAnsi="楷体" w:eastAsia="楷体"/>
          <w:spacing w:val="4"/>
          <w:sz w:val="32"/>
        </w:rPr>
        <w:t>卫生健康委牵头，教育部、国务院扶贫办按职责分工负责）</w:t>
      </w:r>
    </w:p>
    <w:p>
      <w:pPr>
        <w:pStyle w:val="10"/>
        <w:numPr>
          <w:ilvl w:val="0"/>
          <w:numId w:val="5"/>
        </w:numPr>
        <w:tabs>
          <w:tab w:val="left" w:pos="1052"/>
        </w:tabs>
        <w:spacing w:before="7" w:after="0" w:line="350" w:lineRule="auto"/>
        <w:ind w:left="171" w:right="429" w:firstLine="638"/>
        <w:jc w:val="both"/>
        <w:rPr>
          <w:sz w:val="32"/>
        </w:rPr>
      </w:pPr>
      <w:r>
        <w:rPr>
          <w:spacing w:val="-8"/>
          <w:sz w:val="32"/>
        </w:rPr>
        <w:t>推动营养立法和政策研究。研究制定实施营养师制度，在</w:t>
      </w:r>
      <w:r>
        <w:rPr>
          <w:spacing w:val="4"/>
          <w:w w:val="95"/>
          <w:sz w:val="32"/>
        </w:rPr>
        <w:t>幼儿园、学校、养老机构、医院等集体供餐单位配备营养师， 在社区配备营养指导员。强化临床营养工作，不断规范营养筛</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rPr>
          <w:rFonts w:hint="eastAsia" w:ascii="楷体" w:eastAsia="楷体"/>
        </w:rPr>
      </w:pPr>
      <w:r>
        <w:rPr>
          <w:spacing w:val="5"/>
          <w:w w:val="95"/>
        </w:rPr>
        <w:t>查、评估和治疗。</w:t>
      </w:r>
      <w:r>
        <w:rPr>
          <w:rFonts w:hint="eastAsia" w:ascii="楷体" w:eastAsia="楷体"/>
          <w:spacing w:val="5"/>
          <w:w w:val="95"/>
        </w:rPr>
        <w:t>（</w:t>
      </w:r>
      <w:r>
        <w:rPr>
          <w:rFonts w:hint="eastAsia" w:ascii="楷体" w:eastAsia="楷体"/>
          <w:spacing w:val="3"/>
          <w:w w:val="95"/>
        </w:rPr>
        <w:t xml:space="preserve">卫生健康委、民政部、司法部、财政部按 </w:t>
      </w:r>
      <w:r>
        <w:rPr>
          <w:rFonts w:hint="eastAsia" w:ascii="楷体" w:eastAsia="楷体"/>
        </w:rPr>
        <w:t>职责分工负责）</w:t>
      </w:r>
    </w:p>
    <w:p>
      <w:pPr>
        <w:pStyle w:val="10"/>
        <w:numPr>
          <w:ilvl w:val="0"/>
          <w:numId w:val="5"/>
        </w:numPr>
        <w:tabs>
          <w:tab w:val="left" w:pos="1052"/>
        </w:tabs>
        <w:spacing w:before="3" w:after="0" w:line="350" w:lineRule="auto"/>
        <w:ind w:left="171" w:right="429" w:firstLine="638"/>
        <w:jc w:val="both"/>
        <w:rPr>
          <w:rFonts w:hint="eastAsia" w:ascii="楷体" w:eastAsia="楷体"/>
          <w:sz w:val="32"/>
        </w:rPr>
      </w:pPr>
      <w:r>
        <w:rPr>
          <w:spacing w:val="-11"/>
          <w:sz w:val="32"/>
        </w:rPr>
        <w:t>完善食品安全标准体系，制定以食品安全为基础的营养健</w:t>
      </w:r>
      <w:r>
        <w:rPr>
          <w:spacing w:val="4"/>
          <w:w w:val="95"/>
          <w:sz w:val="32"/>
        </w:rPr>
        <w:t xml:space="preserve">康标准，推进食品营养标准体系建设。发展营养导向型农业和 食品加工业。政府要加快研究制定标准限制高糖食品的生产销 </w:t>
      </w:r>
      <w:r>
        <w:rPr>
          <w:spacing w:val="3"/>
          <w:w w:val="95"/>
          <w:sz w:val="32"/>
        </w:rPr>
        <w:t xml:space="preserve">售。加大宣传力度，推动低糖或无糖食品的生产与消费。实施 </w:t>
      </w:r>
      <w:r>
        <w:rPr>
          <w:spacing w:val="4"/>
          <w:w w:val="95"/>
          <w:sz w:val="32"/>
        </w:rPr>
        <w:t xml:space="preserve">食品安全检验检测能力达标工程，加强食品安全抽检和风险监 </w:t>
      </w:r>
      <w:r>
        <w:rPr>
          <w:spacing w:val="5"/>
          <w:w w:val="95"/>
          <w:sz w:val="32"/>
        </w:rPr>
        <w:t>测工作。</w:t>
      </w:r>
      <w:r>
        <w:rPr>
          <w:rFonts w:hint="eastAsia" w:ascii="楷体" w:eastAsia="楷体"/>
          <w:spacing w:val="5"/>
          <w:w w:val="95"/>
          <w:sz w:val="32"/>
        </w:rPr>
        <w:t>（</w:t>
      </w:r>
      <w:r>
        <w:rPr>
          <w:rFonts w:hint="eastAsia" w:ascii="楷体" w:eastAsia="楷体"/>
          <w:spacing w:val="4"/>
          <w:w w:val="95"/>
          <w:sz w:val="32"/>
        </w:rPr>
        <w:t xml:space="preserve">卫生健康委、农业农村部、市场监管总局按职责分 </w:t>
      </w:r>
      <w:r>
        <w:rPr>
          <w:rFonts w:hint="eastAsia" w:ascii="楷体" w:eastAsia="楷体"/>
          <w:sz w:val="32"/>
        </w:rPr>
        <w:t>工负责）</w:t>
      </w:r>
    </w:p>
    <w:p>
      <w:pPr>
        <w:pStyle w:val="10"/>
        <w:numPr>
          <w:ilvl w:val="0"/>
          <w:numId w:val="5"/>
        </w:numPr>
        <w:tabs>
          <w:tab w:val="left" w:pos="1052"/>
        </w:tabs>
        <w:spacing w:before="9" w:after="0" w:line="350" w:lineRule="auto"/>
        <w:ind w:left="171" w:right="427" w:firstLine="638"/>
        <w:jc w:val="both"/>
        <w:rPr>
          <w:rFonts w:hint="eastAsia" w:ascii="楷体" w:hAnsi="楷体" w:eastAsia="楷体"/>
          <w:sz w:val="32"/>
        </w:rPr>
      </w:pPr>
      <w:r>
        <w:rPr>
          <w:spacing w:val="-8"/>
          <w:sz w:val="32"/>
        </w:rPr>
        <w:t>加快修订预包装食品营养标签通则，增加蔗糖等糖的强制</w:t>
      </w:r>
      <w:r>
        <w:rPr>
          <w:spacing w:val="-10"/>
          <w:sz w:val="32"/>
        </w:rPr>
        <w:t>标识，鼓励企业进行</w:t>
      </w:r>
      <w:r>
        <w:rPr>
          <w:rFonts w:ascii="Times New Roman" w:hAnsi="Times New Roman" w:eastAsia="Times New Roman"/>
          <w:sz w:val="32"/>
        </w:rPr>
        <w:t>“</w:t>
      </w:r>
      <w:r>
        <w:rPr>
          <w:sz w:val="32"/>
        </w:rPr>
        <w:t>低糖</w:t>
      </w:r>
      <w:r>
        <w:rPr>
          <w:rFonts w:ascii="Times New Roman" w:hAnsi="Times New Roman" w:eastAsia="Times New Roman"/>
          <w:sz w:val="32"/>
        </w:rPr>
        <w:t>”</w:t>
      </w:r>
      <w:r>
        <w:rPr>
          <w:sz w:val="32"/>
        </w:rPr>
        <w:t>或者</w:t>
      </w:r>
      <w:r>
        <w:rPr>
          <w:rFonts w:ascii="Times New Roman" w:hAnsi="Times New Roman" w:eastAsia="Times New Roman"/>
          <w:sz w:val="32"/>
        </w:rPr>
        <w:t>“</w:t>
      </w:r>
      <w:r>
        <w:rPr>
          <w:sz w:val="32"/>
        </w:rPr>
        <w:t>无糖</w:t>
      </w:r>
      <w:r>
        <w:rPr>
          <w:rFonts w:ascii="Times New Roman" w:hAnsi="Times New Roman" w:eastAsia="Times New Roman"/>
          <w:sz w:val="32"/>
        </w:rPr>
        <w:t>”</w:t>
      </w:r>
      <w:r>
        <w:rPr>
          <w:spacing w:val="-8"/>
          <w:sz w:val="32"/>
        </w:rPr>
        <w:t>的声称，积极推动在食品</w:t>
      </w:r>
      <w:r>
        <w:rPr>
          <w:spacing w:val="-7"/>
          <w:sz w:val="32"/>
        </w:rPr>
        <w:t>包装上使用</w:t>
      </w:r>
      <w:r>
        <w:rPr>
          <w:rFonts w:ascii="Times New Roman" w:hAnsi="Times New Roman" w:eastAsia="Times New Roman"/>
          <w:sz w:val="32"/>
        </w:rPr>
        <w:t>“</w:t>
      </w:r>
      <w:r>
        <w:rPr>
          <w:spacing w:val="-6"/>
          <w:sz w:val="32"/>
        </w:rPr>
        <w:t>包装正面标识（</w:t>
      </w:r>
      <w:r>
        <w:rPr>
          <w:rFonts w:ascii="Times New Roman" w:hAnsi="Times New Roman" w:eastAsia="Times New Roman"/>
          <w:spacing w:val="-6"/>
          <w:sz w:val="32"/>
        </w:rPr>
        <w:t>FOP</w:t>
      </w:r>
      <w:r>
        <w:rPr>
          <w:spacing w:val="-6"/>
          <w:sz w:val="32"/>
        </w:rPr>
        <w:t>）</w:t>
      </w:r>
      <w:r>
        <w:rPr>
          <w:rFonts w:ascii="Times New Roman" w:hAnsi="Times New Roman" w:eastAsia="Times New Roman"/>
          <w:spacing w:val="-6"/>
          <w:sz w:val="32"/>
        </w:rPr>
        <w:t>”</w:t>
      </w:r>
      <w:r>
        <w:rPr>
          <w:spacing w:val="-6"/>
          <w:sz w:val="32"/>
        </w:rPr>
        <w:t>信息，帮助消费者快速选择</w:t>
      </w:r>
      <w:r>
        <w:rPr>
          <w:spacing w:val="3"/>
          <w:w w:val="95"/>
          <w:sz w:val="32"/>
        </w:rPr>
        <w:t xml:space="preserve">健康食品，加强对预包装食品营养标签的监督管理。研究推进 </w:t>
      </w:r>
      <w:r>
        <w:rPr>
          <w:spacing w:val="4"/>
          <w:w w:val="95"/>
          <w:sz w:val="32"/>
        </w:rPr>
        <w:t xml:space="preserve">制定特殊人群集体用餐营养操作规范，探索试点在餐饮食品中 </w:t>
      </w:r>
      <w:r>
        <w:rPr>
          <w:sz w:val="32"/>
        </w:rPr>
        <w:t>增加</w:t>
      </w:r>
      <w:r>
        <w:rPr>
          <w:rFonts w:ascii="Times New Roman" w:hAnsi="Times New Roman" w:eastAsia="Times New Roman"/>
          <w:sz w:val="32"/>
        </w:rPr>
        <w:t>“</w:t>
      </w:r>
      <w:r>
        <w:rPr>
          <w:sz w:val="32"/>
        </w:rPr>
        <w:t>糖</w:t>
      </w:r>
      <w:r>
        <w:rPr>
          <w:rFonts w:ascii="Times New Roman" w:hAnsi="Times New Roman" w:eastAsia="Times New Roman"/>
          <w:sz w:val="32"/>
        </w:rPr>
        <w:t>”</w:t>
      </w:r>
      <w:r>
        <w:rPr>
          <w:spacing w:val="-14"/>
          <w:sz w:val="32"/>
        </w:rPr>
        <w:t>的标识。研究完善油、盐、糖包装标准，在外包装上标</w:t>
      </w:r>
      <w:r>
        <w:rPr>
          <w:spacing w:val="4"/>
          <w:w w:val="95"/>
          <w:sz w:val="32"/>
        </w:rPr>
        <w:t>示建议每人每日食用合理量的油盐糖等有关信息。</w:t>
      </w:r>
      <w:r>
        <w:rPr>
          <w:rFonts w:hint="eastAsia" w:ascii="楷体" w:hAnsi="楷体" w:eastAsia="楷体"/>
          <w:spacing w:val="5"/>
          <w:w w:val="95"/>
          <w:sz w:val="32"/>
        </w:rPr>
        <w:t>（</w:t>
      </w:r>
      <w:r>
        <w:rPr>
          <w:rFonts w:hint="eastAsia" w:ascii="楷体" w:hAnsi="楷体" w:eastAsia="楷体"/>
          <w:spacing w:val="3"/>
          <w:w w:val="95"/>
          <w:sz w:val="32"/>
        </w:rPr>
        <w:t xml:space="preserve">卫生健康 </w:t>
      </w:r>
      <w:r>
        <w:rPr>
          <w:rFonts w:hint="eastAsia" w:ascii="楷体" w:hAnsi="楷体" w:eastAsia="楷体"/>
          <w:spacing w:val="3"/>
          <w:sz w:val="32"/>
        </w:rPr>
        <w:t>委牵头，市场监管总局、工业和信息化部按职责负责）</w:t>
      </w:r>
    </w:p>
    <w:p>
      <w:pPr>
        <w:pStyle w:val="2"/>
        <w:spacing w:before="11"/>
      </w:pPr>
      <w:bookmarkStart w:id="20" w:name="（三）全民健身行动。"/>
      <w:bookmarkEnd w:id="20"/>
      <w:r>
        <w:t>（三）全民健身行动。</w:t>
      </w:r>
    </w:p>
    <w:p>
      <w:pPr>
        <w:pStyle w:val="3"/>
        <w:spacing w:before="190" w:line="350" w:lineRule="auto"/>
        <w:jc w:val="both"/>
      </w:pPr>
      <w:r>
        <w:rPr>
          <w:spacing w:val="4"/>
          <w:w w:val="95"/>
        </w:rPr>
        <w:t xml:space="preserve">生命在于运动，运动需要科学。科学的身体活动可以预防 </w:t>
      </w:r>
      <w:r>
        <w:rPr>
          <w:spacing w:val="-10"/>
        </w:rPr>
        <w:t xml:space="preserve">疾病，愉悦身心，促进健康。根据国家体育总局 </w:t>
      </w:r>
      <w:r>
        <w:rPr>
          <w:rFonts w:ascii="Times New Roman" w:eastAsia="Times New Roman"/>
        </w:rPr>
        <w:t>2014</w:t>
      </w:r>
      <w:r>
        <w:rPr>
          <w:rFonts w:ascii="Times New Roman" w:eastAsia="Times New Roman"/>
          <w:spacing w:val="-7"/>
        </w:rPr>
        <w:t xml:space="preserve"> </w:t>
      </w:r>
      <w:r>
        <w:t>年全民健</w:t>
      </w:r>
      <w:r>
        <w:rPr>
          <w:spacing w:val="15"/>
          <w:w w:val="95"/>
        </w:rPr>
        <w:t>身活动状况调查，我国城乡居民经常参加体育锻炼的比例为</w:t>
      </w:r>
      <w:r>
        <w:rPr>
          <w:rFonts w:ascii="Times New Roman" w:eastAsia="Times New Roman"/>
          <w:spacing w:val="2"/>
        </w:rPr>
        <w:t>33.9%</w:t>
      </w:r>
      <w:r>
        <w:rPr>
          <w:spacing w:val="-19"/>
        </w:rPr>
        <w:t xml:space="preserve">，其中 </w:t>
      </w:r>
      <w:r>
        <w:rPr>
          <w:rFonts w:ascii="Times New Roman" w:eastAsia="Times New Roman"/>
          <w:spacing w:val="3"/>
        </w:rPr>
        <w:t>20</w:t>
      </w:r>
      <w:r>
        <w:rPr>
          <w:spacing w:val="3"/>
        </w:rPr>
        <w:t>～</w:t>
      </w:r>
      <w:r>
        <w:rPr>
          <w:rFonts w:ascii="Times New Roman" w:eastAsia="Times New Roman"/>
          <w:spacing w:val="3"/>
        </w:rPr>
        <w:t>69</w:t>
      </w:r>
      <w:r>
        <w:rPr>
          <w:rFonts w:ascii="Times New Roman" w:eastAsia="Times New Roman"/>
          <w:spacing w:val="-2"/>
        </w:rPr>
        <w:t xml:space="preserve"> </w:t>
      </w:r>
      <w:r>
        <w:rPr>
          <w:spacing w:val="-2"/>
        </w:rPr>
        <w:t xml:space="preserve">岁居民经常锻炼率仅为 </w:t>
      </w:r>
      <w:r>
        <w:rPr>
          <w:rFonts w:ascii="Times New Roman" w:eastAsia="Times New Roman"/>
          <w:spacing w:val="2"/>
        </w:rPr>
        <w:t>14.7%</w:t>
      </w:r>
      <w:r>
        <w:rPr>
          <w:spacing w:val="4"/>
        </w:rPr>
        <w:t>，成人经常</w:t>
      </w:r>
      <w:r>
        <w:rPr>
          <w:spacing w:val="4"/>
          <w:w w:val="95"/>
        </w:rPr>
        <w:t>锻炼率处于较低水平，缺乏身体活动成为多种慢性病发生的重</w:t>
      </w:r>
    </w:p>
    <w:p>
      <w:pPr>
        <w:spacing w:after="0" w:line="350" w:lineRule="auto"/>
        <w:jc w:val="both"/>
        <w:sectPr>
          <w:pgSz w:w="11910" w:h="16840"/>
          <w:pgMar w:top="1540" w:right="1140" w:bottom="1380" w:left="1400" w:header="0" w:footer="1200" w:gutter="0"/>
        </w:sectPr>
      </w:pPr>
    </w:p>
    <w:p>
      <w:pPr>
        <w:pStyle w:val="3"/>
        <w:spacing w:line="350" w:lineRule="auto"/>
        <w:ind w:firstLine="0"/>
        <w:jc w:val="both"/>
      </w:pPr>
      <w:r>
        <w:rPr>
          <w:spacing w:val="4"/>
          <w:w w:val="95"/>
        </w:rPr>
        <w:t xml:space="preserve">要原因。同时，心肺耐力、柔韧性、肌肉力量、肌肉耐力、身 </w:t>
      </w:r>
      <w:r>
        <w:rPr>
          <w:spacing w:val="3"/>
          <w:w w:val="95"/>
        </w:rPr>
        <w:t xml:space="preserve">体成分等指标的变化不容乐观，多数居民在参加体育活动时还 </w:t>
      </w:r>
      <w:r>
        <w:rPr>
          <w:spacing w:val="4"/>
          <w:w w:val="95"/>
        </w:rPr>
        <w:t xml:space="preserve">有很大的盲目性。定期适量进行身体活动有助于预防和改善超 重和肥胖及高血压、心脏病、卒中、糖尿病等慢性病，并能促 </w:t>
      </w:r>
      <w:r>
        <w:t>进精神健康、提高生活质量和幸福感，促进社会和谐。</w:t>
      </w:r>
    </w:p>
    <w:p>
      <w:pPr>
        <w:pStyle w:val="3"/>
        <w:spacing w:before="7"/>
        <w:ind w:left="810" w:right="0" w:firstLine="0"/>
        <w:rPr>
          <w:rFonts w:hint="eastAsia" w:ascii="黑体" w:eastAsia="黑体"/>
        </w:rPr>
      </w:pPr>
      <w:bookmarkStart w:id="21" w:name="行动目标："/>
      <w:bookmarkEnd w:id="21"/>
      <w:r>
        <w:rPr>
          <w:rFonts w:hint="eastAsia" w:ascii="黑体" w:eastAsia="黑体"/>
        </w:rPr>
        <w:t>行动目标：</w:t>
      </w:r>
    </w:p>
    <w:p>
      <w:pPr>
        <w:pStyle w:val="3"/>
        <w:spacing w:before="190" w:line="350" w:lineRule="auto"/>
        <w:ind w:right="270"/>
      </w:pPr>
      <w:bookmarkStart w:id="22" w:name="到2022年和2030年，城乡居民达到《国民体质测定标准》合格以上的人数比例分别"/>
      <w:bookmarkEnd w:id="22"/>
      <w:r>
        <w:rPr>
          <w:spacing w:val="-42"/>
        </w:rPr>
        <w:t xml:space="preserve">到 </w:t>
      </w:r>
      <w:r>
        <w:rPr>
          <w:rFonts w:ascii="Times New Roman" w:eastAsia="Times New Roman"/>
        </w:rPr>
        <w:t xml:space="preserve">2022 </w:t>
      </w:r>
      <w:r>
        <w:rPr>
          <w:spacing w:val="-28"/>
        </w:rPr>
        <w:t xml:space="preserve">年和 </w:t>
      </w:r>
      <w:r>
        <w:rPr>
          <w:rFonts w:ascii="Times New Roman" w:eastAsia="Times New Roman"/>
        </w:rPr>
        <w:t xml:space="preserve">2030 </w:t>
      </w:r>
      <w:r>
        <w:rPr>
          <w:spacing w:val="-6"/>
        </w:rPr>
        <w:t>年，城乡居民达到《国民体质测定标准》</w:t>
      </w:r>
      <w:r>
        <w:rPr>
          <w:spacing w:val="-12"/>
        </w:rPr>
        <w:t xml:space="preserve">合格以上的人数比例分别不少于 </w:t>
      </w:r>
      <w:r>
        <w:rPr>
          <w:rFonts w:ascii="Times New Roman" w:eastAsia="Times New Roman"/>
        </w:rPr>
        <w:t>90.86%</w:t>
      </w:r>
      <w:r>
        <w:rPr>
          <w:spacing w:val="-41"/>
        </w:rPr>
        <w:t xml:space="preserve">和 </w:t>
      </w:r>
      <w:r>
        <w:rPr>
          <w:rFonts w:ascii="Times New Roman" w:eastAsia="Times New Roman"/>
          <w:spacing w:val="-13"/>
        </w:rPr>
        <w:t>92.17%</w:t>
      </w:r>
      <w:r>
        <w:rPr>
          <w:spacing w:val="-4"/>
        </w:rPr>
        <w:t>；经常参加体</w:t>
      </w:r>
      <w:r>
        <w:rPr>
          <w:spacing w:val="5"/>
        </w:rPr>
        <w:t>育锻炼（</w:t>
      </w:r>
      <w:r>
        <w:rPr>
          <w:spacing w:val="-4"/>
        </w:rPr>
        <w:t xml:space="preserve">每周参加体育锻炼频度 </w:t>
      </w:r>
      <w:r>
        <w:rPr>
          <w:rFonts w:ascii="Times New Roman" w:eastAsia="Times New Roman"/>
        </w:rPr>
        <w:t xml:space="preserve">3 </w:t>
      </w:r>
      <w:r>
        <w:rPr>
          <w:spacing w:val="4"/>
        </w:rPr>
        <w:t>次及以上，每次体育锻炼持</w:t>
      </w:r>
    </w:p>
    <w:p>
      <w:pPr>
        <w:pStyle w:val="3"/>
        <w:spacing w:before="4" w:line="350" w:lineRule="auto"/>
        <w:ind w:right="427" w:firstLine="0"/>
        <w:jc w:val="both"/>
      </w:pPr>
      <w:r>
        <w:rPr>
          <w:spacing w:val="-22"/>
        </w:rPr>
        <w:t xml:space="preserve">续时间 </w:t>
      </w:r>
      <w:r>
        <w:rPr>
          <w:rFonts w:ascii="Times New Roman" w:eastAsia="Times New Roman"/>
        </w:rPr>
        <w:t xml:space="preserve">30 </w:t>
      </w:r>
      <w:r>
        <w:rPr>
          <w:spacing w:val="-6"/>
        </w:rPr>
        <w:t>分钟及以上，每次体育锻炼的运动强度达到中等及以</w:t>
      </w:r>
      <w:r>
        <w:rPr>
          <w:spacing w:val="5"/>
        </w:rPr>
        <w:t>上</w:t>
      </w:r>
      <w:r>
        <w:t>）</w:t>
      </w:r>
      <w:r>
        <w:rPr>
          <w:spacing w:val="-11"/>
        </w:rPr>
        <w:t xml:space="preserve">人数比例达到 </w:t>
      </w:r>
      <w:r>
        <w:rPr>
          <w:rFonts w:ascii="Times New Roman" w:eastAsia="Times New Roman"/>
        </w:rPr>
        <w:t>37%</w:t>
      </w:r>
      <w:r>
        <w:rPr>
          <w:spacing w:val="-15"/>
        </w:rPr>
        <w:t xml:space="preserve">及以上和 </w:t>
      </w:r>
      <w:r>
        <w:rPr>
          <w:rFonts w:ascii="Times New Roman" w:eastAsia="Times New Roman"/>
        </w:rPr>
        <w:t>40%</w:t>
      </w:r>
      <w:r>
        <w:t>及以上；学校体育场地设</w:t>
      </w:r>
      <w:r>
        <w:rPr>
          <w:spacing w:val="-6"/>
        </w:rPr>
        <w:t xml:space="preserve">施开放率超过 </w:t>
      </w:r>
      <w:r>
        <w:rPr>
          <w:rFonts w:ascii="Times New Roman" w:eastAsia="Times New Roman"/>
          <w:spacing w:val="4"/>
        </w:rPr>
        <w:t>70%</w:t>
      </w:r>
      <w:r>
        <w:rPr>
          <w:spacing w:val="-39"/>
        </w:rPr>
        <w:t xml:space="preserve">和 </w:t>
      </w:r>
      <w:r>
        <w:rPr>
          <w:rFonts w:ascii="Times New Roman" w:eastAsia="Times New Roman"/>
          <w:spacing w:val="4"/>
        </w:rPr>
        <w:t>90%</w:t>
      </w:r>
      <w:r>
        <w:rPr>
          <w:spacing w:val="1"/>
        </w:rPr>
        <w:t xml:space="preserve">；人均体育场地面积分别达到 </w:t>
      </w:r>
      <w:r>
        <w:rPr>
          <w:rFonts w:ascii="Times New Roman" w:eastAsia="Times New Roman"/>
        </w:rPr>
        <w:t>1.9m</w:t>
      </w:r>
      <w:r>
        <w:rPr>
          <w:rFonts w:ascii="Times New Roman" w:eastAsia="Times New Roman"/>
          <w:position w:val="11"/>
          <w:sz w:val="20"/>
        </w:rPr>
        <w:t xml:space="preserve">2 </w:t>
      </w:r>
      <w:r>
        <w:rPr>
          <w:spacing w:val="-15"/>
        </w:rPr>
        <w:t xml:space="preserve">及以上和 </w:t>
      </w:r>
      <w:r>
        <w:rPr>
          <w:rFonts w:ascii="Times New Roman" w:eastAsia="Times New Roman"/>
        </w:rPr>
        <w:t>2.3 m</w:t>
      </w:r>
      <w:r>
        <w:rPr>
          <w:rFonts w:ascii="Times New Roman" w:eastAsia="Times New Roman"/>
          <w:position w:val="11"/>
          <w:sz w:val="20"/>
        </w:rPr>
        <w:t xml:space="preserve">2 </w:t>
      </w:r>
      <w:r>
        <w:rPr>
          <w:spacing w:val="4"/>
        </w:rPr>
        <w:t>及以上；城市慢跑步行道绿道的人均长度持续</w:t>
      </w:r>
      <w:r>
        <w:rPr>
          <w:spacing w:val="-9"/>
        </w:rPr>
        <w:t xml:space="preserve">提升；每千人拥有社会体育指导员不少于 </w:t>
      </w:r>
      <w:r>
        <w:rPr>
          <w:rFonts w:ascii="Times New Roman" w:eastAsia="Times New Roman"/>
        </w:rPr>
        <w:t xml:space="preserve">1.9 </w:t>
      </w:r>
      <w:r>
        <w:rPr>
          <w:spacing w:val="-28"/>
        </w:rPr>
        <w:t xml:space="preserve">名和 </w:t>
      </w:r>
      <w:r>
        <w:rPr>
          <w:rFonts w:ascii="Times New Roman" w:eastAsia="Times New Roman"/>
        </w:rPr>
        <w:t xml:space="preserve">2.3 </w:t>
      </w:r>
      <w:r>
        <w:rPr>
          <w:spacing w:val="-5"/>
        </w:rPr>
        <w:t>名；农村</w:t>
      </w:r>
      <w:r>
        <w:rPr>
          <w:spacing w:val="-9"/>
        </w:rPr>
        <w:t xml:space="preserve">行政村体育设施覆盖率基本实现全覆盖和覆盖率 </w:t>
      </w:r>
      <w:r>
        <w:rPr>
          <w:rFonts w:ascii="Times New Roman" w:eastAsia="Times New Roman"/>
        </w:rPr>
        <w:t>100%</w:t>
      </w:r>
      <w:r>
        <w:t>。</w:t>
      </w:r>
    </w:p>
    <w:p>
      <w:pPr>
        <w:pStyle w:val="3"/>
        <w:spacing w:before="8"/>
        <w:ind w:left="810" w:right="0" w:firstLine="0"/>
        <w:jc w:val="both"/>
      </w:pPr>
      <w:bookmarkStart w:id="23" w:name="提倡机关、企事业单位开展工间操；鼓励个人至少有1项运动爱好或掌握1项传统运动项目"/>
      <w:bookmarkEnd w:id="23"/>
      <w:r>
        <w:t xml:space="preserve">提倡机关、企事业单位开展工间操；鼓励个人至少有 </w:t>
      </w:r>
      <w:r>
        <w:rPr>
          <w:rFonts w:ascii="Times New Roman" w:eastAsia="Times New Roman"/>
        </w:rPr>
        <w:t xml:space="preserve">1 </w:t>
      </w:r>
      <w:r>
        <w:t>项</w:t>
      </w:r>
    </w:p>
    <w:p>
      <w:pPr>
        <w:pStyle w:val="3"/>
        <w:spacing w:before="190" w:line="350" w:lineRule="auto"/>
        <w:ind w:firstLine="0"/>
        <w:jc w:val="both"/>
      </w:pPr>
      <w:r>
        <w:rPr>
          <w:spacing w:val="-7"/>
        </w:rPr>
        <w:t xml:space="preserve">运动爱好或掌握 </w:t>
      </w:r>
      <w:r>
        <w:rPr>
          <w:rFonts w:ascii="Times New Roman" w:eastAsia="Times New Roman"/>
        </w:rPr>
        <w:t>1</w:t>
      </w:r>
      <w:r>
        <w:rPr>
          <w:rFonts w:ascii="Times New Roman" w:eastAsia="Times New Roman"/>
          <w:spacing w:val="-1"/>
        </w:rPr>
        <w:t xml:space="preserve"> </w:t>
      </w:r>
      <w:r>
        <w:rPr>
          <w:spacing w:val="-3"/>
        </w:rPr>
        <w:t xml:space="preserve">项传统运动项目，参加至少 </w:t>
      </w:r>
      <w:r>
        <w:rPr>
          <w:rFonts w:ascii="Times New Roman" w:eastAsia="Times New Roman"/>
        </w:rPr>
        <w:t>1</w:t>
      </w:r>
      <w:r>
        <w:rPr>
          <w:rFonts w:ascii="Times New Roman" w:eastAsia="Times New Roman"/>
          <w:spacing w:val="-1"/>
        </w:rPr>
        <w:t xml:space="preserve"> </w:t>
      </w:r>
      <w:r>
        <w:rPr>
          <w:spacing w:val="2"/>
        </w:rPr>
        <w:t xml:space="preserve">个健身组织， </w:t>
      </w:r>
      <w:r>
        <w:rPr>
          <w:spacing w:val="4"/>
          <w:w w:val="95"/>
        </w:rPr>
        <w:t xml:space="preserve">每天进行中等强度运动至少半小时；鼓励医疗机构提供运动促 进健康的指导服务，鼓励引导社会体育指导人员在健身场所等 地方为群众提供科学健身指导服务，提高健身效果，预防运动 损伤；鼓励公共体育场地设施更多更好地提供免费或低收费开 放服务，确保符合条件的企事业单位体育场地设施全部向社会 </w:t>
      </w:r>
      <w:r>
        <w:t>开放。</w:t>
      </w:r>
    </w:p>
    <w:p>
      <w:pPr>
        <w:spacing w:after="0" w:line="350" w:lineRule="auto"/>
        <w:jc w:val="both"/>
        <w:sectPr>
          <w:pgSz w:w="11910" w:h="16840"/>
          <w:pgMar w:top="1540" w:right="1140" w:bottom="1380" w:left="1400" w:header="0" w:footer="1200" w:gutter="0"/>
        </w:sectPr>
      </w:pPr>
    </w:p>
    <w:p>
      <w:pPr>
        <w:pStyle w:val="2"/>
        <w:spacing w:before="43"/>
        <w:rPr>
          <w:rFonts w:hint="eastAsia" w:ascii="仿宋" w:hAnsi="仿宋" w:eastAsia="仿宋"/>
        </w:rPr>
      </w:pPr>
      <w:bookmarkStart w:id="24" w:name="——个人："/>
      <w:bookmarkEnd w:id="24"/>
      <w:r>
        <w:rPr>
          <w:rFonts w:ascii="Times New Roman" w:hAnsi="Times New Roman" w:eastAsia="Times New Roman"/>
        </w:rPr>
        <w:t>——</w:t>
      </w:r>
      <w:r>
        <w:rPr>
          <w:rFonts w:hint="eastAsia" w:ascii="仿宋" w:hAnsi="仿宋" w:eastAsia="仿宋"/>
        </w:rPr>
        <w:t>个人：</w:t>
      </w:r>
    </w:p>
    <w:p>
      <w:pPr>
        <w:pStyle w:val="10"/>
        <w:numPr>
          <w:ilvl w:val="0"/>
          <w:numId w:val="6"/>
        </w:numPr>
        <w:tabs>
          <w:tab w:val="left" w:pos="1052"/>
        </w:tabs>
        <w:spacing w:before="190" w:after="0" w:line="350" w:lineRule="auto"/>
        <w:ind w:left="171" w:right="429" w:firstLine="638"/>
        <w:jc w:val="both"/>
        <w:rPr>
          <w:sz w:val="32"/>
        </w:rPr>
      </w:pPr>
      <w:r>
        <w:rPr>
          <w:spacing w:val="-9"/>
          <w:sz w:val="32"/>
        </w:rPr>
        <w:t>了解运动对健康的益处。建议个人提高身体活动意识，培</w:t>
      </w:r>
      <w:r>
        <w:rPr>
          <w:spacing w:val="3"/>
          <w:w w:val="95"/>
          <w:sz w:val="32"/>
        </w:rPr>
        <w:t xml:space="preserve">养运动习惯。了解和掌握全民健身、身体活动相关知识，将身 体活动融入到日常生活中，掌握运动技能，少静多动，减少久 </w:t>
      </w:r>
      <w:r>
        <w:rPr>
          <w:sz w:val="32"/>
        </w:rPr>
        <w:t>坐，保持健康体重；科学运动避免运动风险。</w:t>
      </w:r>
    </w:p>
    <w:p>
      <w:pPr>
        <w:pStyle w:val="10"/>
        <w:numPr>
          <w:ilvl w:val="0"/>
          <w:numId w:val="6"/>
        </w:numPr>
        <w:tabs>
          <w:tab w:val="left" w:pos="1052"/>
        </w:tabs>
        <w:spacing w:before="5" w:after="0" w:line="350" w:lineRule="auto"/>
        <w:ind w:left="171" w:right="270" w:firstLine="638"/>
        <w:jc w:val="left"/>
        <w:rPr>
          <w:sz w:val="32"/>
        </w:rPr>
      </w:pPr>
      <w:r>
        <w:rPr>
          <w:sz w:val="32"/>
        </w:rPr>
        <w:t xml:space="preserve">动则有益，贵在坚持。运动前需了解患病史及家族病史， </w:t>
      </w:r>
      <w:r>
        <w:rPr>
          <w:spacing w:val="3"/>
          <w:sz w:val="32"/>
        </w:rPr>
        <w:t>评估身体状态，鼓励在家庭医生或专业人士指导下制定运动方</w:t>
      </w:r>
      <w:r>
        <w:rPr>
          <w:spacing w:val="-5"/>
          <w:w w:val="95"/>
          <w:sz w:val="32"/>
        </w:rPr>
        <w:t xml:space="preserve">案，选择适合自己的运动方式、强度和运动量，减少运动风险。 </w:t>
      </w:r>
      <w:r>
        <w:rPr>
          <w:spacing w:val="-16"/>
          <w:sz w:val="32"/>
        </w:rPr>
        <w:t xml:space="preserve">鼓励每周进行 </w:t>
      </w:r>
      <w:r>
        <w:rPr>
          <w:rFonts w:ascii="Times New Roman" w:eastAsia="Times New Roman"/>
          <w:sz w:val="32"/>
        </w:rPr>
        <w:t>3</w:t>
      </w:r>
      <w:r>
        <w:rPr>
          <w:rFonts w:ascii="Times New Roman" w:eastAsia="Times New Roman"/>
          <w:spacing w:val="-2"/>
          <w:sz w:val="32"/>
        </w:rPr>
        <w:t xml:space="preserve"> </w:t>
      </w:r>
      <w:r>
        <w:rPr>
          <w:spacing w:val="-15"/>
          <w:sz w:val="32"/>
        </w:rPr>
        <w:t xml:space="preserve">次以上、每次 </w:t>
      </w:r>
      <w:r>
        <w:rPr>
          <w:rFonts w:ascii="Times New Roman" w:eastAsia="Times New Roman"/>
          <w:sz w:val="32"/>
        </w:rPr>
        <w:t>30</w:t>
      </w:r>
      <w:r>
        <w:rPr>
          <w:rFonts w:ascii="Times New Roman" w:eastAsia="Times New Roman"/>
          <w:spacing w:val="-4"/>
          <w:sz w:val="32"/>
        </w:rPr>
        <w:t xml:space="preserve"> </w:t>
      </w:r>
      <w:r>
        <w:rPr>
          <w:spacing w:val="-2"/>
          <w:sz w:val="32"/>
        </w:rPr>
        <w:t>分钟以上中等强度运动，或者</w:t>
      </w:r>
    </w:p>
    <w:p>
      <w:pPr>
        <w:pStyle w:val="3"/>
        <w:spacing w:before="6" w:line="350" w:lineRule="auto"/>
        <w:ind w:right="270" w:firstLine="0"/>
      </w:pPr>
      <w:r>
        <w:rPr>
          <w:spacing w:val="-28"/>
        </w:rPr>
        <w:t xml:space="preserve">累计 </w:t>
      </w:r>
      <w:r>
        <w:rPr>
          <w:rFonts w:ascii="Times New Roman" w:eastAsia="Times New Roman"/>
        </w:rPr>
        <w:t>150</w:t>
      </w:r>
      <w:r>
        <w:rPr>
          <w:rFonts w:ascii="Times New Roman" w:eastAsia="Times New Roman"/>
          <w:spacing w:val="-2"/>
        </w:rPr>
        <w:t xml:space="preserve"> </w:t>
      </w:r>
      <w:r>
        <w:rPr>
          <w:spacing w:val="-11"/>
        </w:rPr>
        <w:t xml:space="preserve">分钟中等强度或 </w:t>
      </w:r>
      <w:r>
        <w:rPr>
          <w:rFonts w:ascii="Times New Roman" w:eastAsia="Times New Roman"/>
        </w:rPr>
        <w:t>75</w:t>
      </w:r>
      <w:r>
        <w:rPr>
          <w:rFonts w:ascii="Times New Roman" w:eastAsia="Times New Roman"/>
          <w:spacing w:val="-4"/>
        </w:rPr>
        <w:t xml:space="preserve"> </w:t>
      </w:r>
      <w:r>
        <w:rPr>
          <w:spacing w:val="-4"/>
        </w:rPr>
        <w:t xml:space="preserve">分钟高强度身体活动。日常生活中要尽量多动，达到每天 </w:t>
      </w:r>
      <w:r>
        <w:rPr>
          <w:rFonts w:ascii="Times New Roman" w:eastAsia="Times New Roman"/>
        </w:rPr>
        <w:t>6000</w:t>
      </w:r>
      <w:r>
        <w:t>～</w:t>
      </w:r>
      <w:r>
        <w:rPr>
          <w:rFonts w:ascii="Times New Roman" w:eastAsia="Times New Roman"/>
        </w:rPr>
        <w:t>10000</w:t>
      </w:r>
      <w:r>
        <w:rPr>
          <w:rFonts w:ascii="Times New Roman" w:eastAsia="Times New Roman"/>
          <w:spacing w:val="2"/>
        </w:rPr>
        <w:t xml:space="preserve"> </w:t>
      </w:r>
      <w:r>
        <w:rPr>
          <w:spacing w:val="4"/>
        </w:rPr>
        <w:t>步的身体活动量。吃动平衡，让摄入的多余能量通过运动的方式消耗，达到身体各机能</w:t>
      </w:r>
      <w:r>
        <w:rPr>
          <w:spacing w:val="-2"/>
          <w:w w:val="95"/>
        </w:rPr>
        <w:t xml:space="preserve">的平衡。一次完整的运动包括准备活动、正式运动、整理活动。 </w:t>
      </w:r>
      <w:r>
        <w:rPr>
          <w:spacing w:val="4"/>
        </w:rPr>
        <w:t>一周运动健身包括有氧运动、力量练习、柔韧性练习等内容。提倡家庭配备适合家庭成员使用的小型、便携、易操作的健身器材。</w:t>
      </w:r>
    </w:p>
    <w:p>
      <w:pPr>
        <w:pStyle w:val="10"/>
        <w:numPr>
          <w:ilvl w:val="0"/>
          <w:numId w:val="6"/>
        </w:numPr>
        <w:tabs>
          <w:tab w:val="left" w:pos="1052"/>
        </w:tabs>
        <w:spacing w:before="10" w:after="0" w:line="350" w:lineRule="auto"/>
        <w:ind w:left="171" w:right="270" w:firstLine="638"/>
        <w:jc w:val="left"/>
        <w:rPr>
          <w:sz w:val="32"/>
        </w:rPr>
      </w:pPr>
      <w:r>
        <w:rPr>
          <w:sz w:val="32"/>
        </w:rPr>
        <w:t>老年人运动有助于保持身体功能，减缓认知功能的退化。</w:t>
      </w:r>
      <w:r>
        <w:rPr>
          <w:spacing w:val="4"/>
          <w:sz w:val="32"/>
        </w:rPr>
        <w:t>提倡老年人量力而行，选择与自身体质和健康相适应的运动方</w:t>
      </w:r>
      <w:r>
        <w:rPr>
          <w:spacing w:val="-5"/>
          <w:w w:val="95"/>
          <w:sz w:val="32"/>
        </w:rPr>
        <w:t xml:space="preserve">式。在重视有氧运动的同时，重视肌肉力量练习和柔韧性锻炼， </w:t>
      </w:r>
      <w:r>
        <w:rPr>
          <w:spacing w:val="4"/>
          <w:sz w:val="32"/>
        </w:rPr>
        <w:t>适当进行平衡能力锻炼，强健骨骼肌肉系统，预防跌倒。提倡老年人参加运动期间定期测量血压和血糖，调整运动量。</w:t>
      </w:r>
    </w:p>
    <w:p>
      <w:pPr>
        <w:pStyle w:val="10"/>
        <w:numPr>
          <w:ilvl w:val="0"/>
          <w:numId w:val="6"/>
        </w:numPr>
        <w:tabs>
          <w:tab w:val="left" w:pos="1052"/>
        </w:tabs>
        <w:spacing w:before="7" w:after="0" w:line="350" w:lineRule="auto"/>
        <w:ind w:left="171" w:right="429" w:firstLine="638"/>
        <w:jc w:val="left"/>
        <w:rPr>
          <w:sz w:val="32"/>
        </w:rPr>
      </w:pPr>
      <w:r>
        <w:rPr>
          <w:spacing w:val="-11"/>
          <w:w w:val="95"/>
          <w:sz w:val="32"/>
        </w:rPr>
        <w:t xml:space="preserve">特殊人群，如孕妇、慢性病患者、残疾人等，建议在医生 </w:t>
      </w:r>
      <w:r>
        <w:rPr>
          <w:spacing w:val="4"/>
          <w:w w:val="95"/>
          <w:sz w:val="32"/>
        </w:rPr>
        <w:t>和运动专业人士的指导下进行运动。单纯性肥胖患者至少要达</w:t>
      </w:r>
    </w:p>
    <w:p>
      <w:pPr>
        <w:spacing w:after="0" w:line="350" w:lineRule="auto"/>
        <w:jc w:val="left"/>
        <w:rPr>
          <w:sz w:val="32"/>
        </w:rPr>
        <w:sectPr>
          <w:pgSz w:w="11910" w:h="16840"/>
          <w:pgMar w:top="1540" w:right="1140" w:bottom="1380" w:left="1400" w:header="0" w:footer="1200" w:gutter="0"/>
        </w:sectPr>
      </w:pPr>
    </w:p>
    <w:p>
      <w:pPr>
        <w:pStyle w:val="3"/>
        <w:spacing w:line="350" w:lineRule="auto"/>
        <w:ind w:firstLine="0"/>
        <w:jc w:val="both"/>
      </w:pPr>
      <w:r>
        <w:rPr>
          <w:spacing w:val="-7"/>
        </w:rPr>
        <w:t xml:space="preserve">到一般成年人的运动推荐量。控制体重每天要进行 </w:t>
      </w:r>
      <w:r>
        <w:rPr>
          <w:rFonts w:ascii="Times New Roman" w:eastAsia="Times New Roman"/>
        </w:rPr>
        <w:t>45</w:t>
      </w:r>
      <w:r>
        <w:rPr>
          <w:rFonts w:ascii="Times New Roman" w:eastAsia="Times New Roman"/>
          <w:spacing w:val="-4"/>
        </w:rPr>
        <w:t xml:space="preserve"> </w:t>
      </w:r>
      <w:r>
        <w:t>分钟以上</w:t>
      </w:r>
      <w:r>
        <w:rPr>
          <w:spacing w:val="4"/>
          <w:w w:val="95"/>
        </w:rPr>
        <w:t xml:space="preserve">的中低强度的运动。在减低体重过程中，建议强调肌肉力量锻 炼，以避免肌肉和骨骼重量的下降。提倡运动与饮食控制相结 </w:t>
      </w:r>
      <w:r>
        <w:t>合来减低体重。</w:t>
      </w:r>
    </w:p>
    <w:p>
      <w:pPr>
        <w:pStyle w:val="10"/>
        <w:numPr>
          <w:ilvl w:val="0"/>
          <w:numId w:val="6"/>
        </w:numPr>
        <w:tabs>
          <w:tab w:val="left" w:pos="1052"/>
        </w:tabs>
        <w:spacing w:before="5" w:after="0" w:line="350" w:lineRule="auto"/>
        <w:ind w:left="171" w:right="348" w:firstLine="638"/>
        <w:jc w:val="both"/>
        <w:rPr>
          <w:sz w:val="32"/>
        </w:rPr>
      </w:pPr>
      <w:r>
        <w:rPr>
          <w:sz w:val="32"/>
        </w:rPr>
        <w:t>以体力劳动为主的人群，要注意劳逸结合，避免</w:t>
      </w:r>
      <w:r>
        <w:rPr>
          <w:rFonts w:ascii="Times New Roman" w:hAnsi="Times New Roman" w:eastAsia="Times New Roman"/>
          <w:sz w:val="32"/>
        </w:rPr>
        <w:t>“</w:t>
      </w:r>
      <w:r>
        <w:rPr>
          <w:sz w:val="32"/>
        </w:rPr>
        <w:t>过劳</w:t>
      </w:r>
      <w:r>
        <w:rPr>
          <w:rFonts w:ascii="Times New Roman" w:hAnsi="Times New Roman" w:eastAsia="Times New Roman"/>
          <w:sz w:val="32"/>
        </w:rPr>
        <w:t>”</w:t>
      </w:r>
      <w:r>
        <w:rPr>
          <w:sz w:val="32"/>
        </w:rPr>
        <w:t xml:space="preserve">， </w:t>
      </w:r>
      <w:r>
        <w:rPr>
          <w:spacing w:val="4"/>
          <w:sz w:val="32"/>
        </w:rPr>
        <w:t>通过运动促进身体的全面发展。可在工作一段时间后换一种放松的运动方式，减轻肌肉的酸痛和僵硬，消除局部的疲劳，但运动量和强度都不宜过大。</w:t>
      </w:r>
    </w:p>
    <w:p>
      <w:pPr>
        <w:pStyle w:val="2"/>
        <w:rPr>
          <w:rFonts w:hint="eastAsia" w:ascii="仿宋" w:hAnsi="仿宋" w:eastAsia="仿宋"/>
        </w:rPr>
      </w:pPr>
      <w:bookmarkStart w:id="25" w:name="——社会："/>
      <w:bookmarkEnd w:id="25"/>
      <w:r>
        <w:rPr>
          <w:rFonts w:ascii="Times New Roman" w:hAnsi="Times New Roman" w:eastAsia="Times New Roman"/>
        </w:rPr>
        <w:t>——</w:t>
      </w:r>
      <w:r>
        <w:rPr>
          <w:rFonts w:hint="eastAsia" w:ascii="仿宋" w:hAnsi="仿宋" w:eastAsia="仿宋"/>
        </w:rPr>
        <w:t>社会：</w:t>
      </w:r>
    </w:p>
    <w:p>
      <w:pPr>
        <w:pStyle w:val="10"/>
        <w:numPr>
          <w:ilvl w:val="0"/>
          <w:numId w:val="7"/>
        </w:numPr>
        <w:tabs>
          <w:tab w:val="left" w:pos="1052"/>
        </w:tabs>
        <w:spacing w:before="190" w:after="0" w:line="350" w:lineRule="auto"/>
        <w:ind w:left="171" w:right="429" w:firstLine="638"/>
        <w:jc w:val="both"/>
        <w:rPr>
          <w:sz w:val="32"/>
        </w:rPr>
      </w:pPr>
      <w:r>
        <w:rPr>
          <w:spacing w:val="-7"/>
          <w:sz w:val="32"/>
        </w:rPr>
        <w:t>建立健全群众身边的健身组织，体育总会在地市、县、乡</w:t>
      </w:r>
      <w:r>
        <w:rPr>
          <w:spacing w:val="4"/>
          <w:w w:val="95"/>
          <w:sz w:val="32"/>
        </w:rPr>
        <w:t xml:space="preserve">实现全覆盖，单项体育协会延伸到群众身边，让想健身的群众 </w:t>
      </w:r>
      <w:r>
        <w:rPr>
          <w:sz w:val="32"/>
        </w:rPr>
        <w:t>加入到体育组织中。</w:t>
      </w:r>
    </w:p>
    <w:p>
      <w:pPr>
        <w:pStyle w:val="10"/>
        <w:numPr>
          <w:ilvl w:val="0"/>
          <w:numId w:val="7"/>
        </w:numPr>
        <w:tabs>
          <w:tab w:val="left" w:pos="1052"/>
        </w:tabs>
        <w:spacing w:before="4" w:after="0" w:line="350" w:lineRule="auto"/>
        <w:ind w:left="171" w:right="108" w:firstLine="638"/>
        <w:jc w:val="left"/>
        <w:rPr>
          <w:sz w:val="32"/>
        </w:rPr>
      </w:pPr>
      <w:r>
        <w:rPr>
          <w:spacing w:val="-11"/>
          <w:sz w:val="32"/>
        </w:rPr>
        <w:t>举办各类全民健身赛事，实施群众冬季运动推广普及计划。</w:t>
      </w:r>
      <w:r>
        <w:rPr>
          <w:spacing w:val="4"/>
          <w:sz w:val="32"/>
        </w:rPr>
        <w:t>发展中国特色健身项目，开展民族、民俗、民间体育活动。推广普及太极拳、健身气功等传统体育项目。推进全民健身进家庭。推广普及广播体操等工间操。推行国家体育锻炼标准和运动水平等级标准。</w:t>
      </w:r>
    </w:p>
    <w:p>
      <w:pPr>
        <w:pStyle w:val="10"/>
        <w:numPr>
          <w:ilvl w:val="0"/>
          <w:numId w:val="7"/>
        </w:numPr>
        <w:tabs>
          <w:tab w:val="left" w:pos="1052"/>
        </w:tabs>
        <w:spacing w:before="7" w:after="0" w:line="350" w:lineRule="auto"/>
        <w:ind w:left="171" w:right="429" w:firstLine="638"/>
        <w:jc w:val="both"/>
        <w:rPr>
          <w:sz w:val="32"/>
        </w:rPr>
      </w:pPr>
      <w:r>
        <w:rPr>
          <w:spacing w:val="-8"/>
          <w:sz w:val="32"/>
        </w:rPr>
        <w:t>弘扬群众身边的健身文化，制作体育题材的影视、动漫作</w:t>
      </w:r>
      <w:r>
        <w:rPr>
          <w:spacing w:val="4"/>
          <w:w w:val="95"/>
          <w:sz w:val="32"/>
        </w:rPr>
        <w:t xml:space="preserve">品，鼓励开展全民健身志愿服务，普及体育健身文化知识，增 </w:t>
      </w:r>
      <w:r>
        <w:rPr>
          <w:sz w:val="32"/>
        </w:rPr>
        <w:t>强健身意识。</w:t>
      </w:r>
    </w:p>
    <w:p>
      <w:pPr>
        <w:pStyle w:val="10"/>
        <w:numPr>
          <w:ilvl w:val="0"/>
          <w:numId w:val="7"/>
        </w:numPr>
        <w:tabs>
          <w:tab w:val="left" w:pos="1052"/>
        </w:tabs>
        <w:spacing w:before="4" w:after="0" w:line="350" w:lineRule="auto"/>
        <w:ind w:left="171" w:right="429" w:firstLine="638"/>
        <w:jc w:val="both"/>
        <w:rPr>
          <w:sz w:val="32"/>
        </w:rPr>
      </w:pPr>
      <w:r>
        <w:rPr>
          <w:spacing w:val="-7"/>
          <w:sz w:val="32"/>
        </w:rPr>
        <w:t>鼓励将国民体质测定纳入健康体检项目。各级医疗卫生机</w:t>
      </w:r>
      <w:r>
        <w:rPr>
          <w:spacing w:val="4"/>
          <w:w w:val="95"/>
          <w:sz w:val="32"/>
        </w:rPr>
        <w:t xml:space="preserve">构开展运动风险评估，提供健身方案或运动促进健康的指导服 </w:t>
      </w:r>
      <w:r>
        <w:rPr>
          <w:sz w:val="32"/>
        </w:rPr>
        <w:t>务。</w:t>
      </w:r>
    </w:p>
    <w:p>
      <w:pPr>
        <w:spacing w:after="0" w:line="350" w:lineRule="auto"/>
        <w:jc w:val="both"/>
        <w:rPr>
          <w:sz w:val="32"/>
        </w:rPr>
        <w:sectPr>
          <w:pgSz w:w="11910" w:h="16840"/>
          <w:pgMar w:top="1540" w:right="1140" w:bottom="1380" w:left="1400" w:header="0" w:footer="1200" w:gutter="0"/>
        </w:sectPr>
      </w:pPr>
    </w:p>
    <w:p>
      <w:pPr>
        <w:pStyle w:val="2"/>
        <w:spacing w:before="43"/>
        <w:rPr>
          <w:rFonts w:hint="eastAsia" w:ascii="仿宋" w:hAnsi="仿宋" w:eastAsia="仿宋"/>
        </w:rPr>
      </w:pPr>
      <w:bookmarkStart w:id="26" w:name="——政府："/>
      <w:bookmarkEnd w:id="26"/>
      <w:r>
        <w:rPr>
          <w:rFonts w:ascii="Times New Roman" w:hAnsi="Times New Roman" w:eastAsia="Times New Roman"/>
        </w:rPr>
        <w:t>——</w:t>
      </w:r>
      <w:r>
        <w:rPr>
          <w:rFonts w:hint="eastAsia" w:ascii="仿宋" w:hAnsi="仿宋" w:eastAsia="仿宋"/>
        </w:rPr>
        <w:t>政府：</w:t>
      </w:r>
    </w:p>
    <w:p>
      <w:pPr>
        <w:pStyle w:val="10"/>
        <w:numPr>
          <w:ilvl w:val="0"/>
          <w:numId w:val="8"/>
        </w:numPr>
        <w:tabs>
          <w:tab w:val="left" w:pos="1052"/>
        </w:tabs>
        <w:spacing w:before="190" w:after="0" w:line="350" w:lineRule="auto"/>
        <w:ind w:left="171" w:right="270" w:firstLine="638"/>
        <w:jc w:val="left"/>
        <w:rPr>
          <w:rFonts w:hint="eastAsia" w:ascii="楷体" w:hAnsi="楷体" w:eastAsia="楷体"/>
          <w:sz w:val="32"/>
        </w:rPr>
      </w:pPr>
      <w:r>
        <w:rPr>
          <w:spacing w:val="-8"/>
          <w:sz w:val="32"/>
        </w:rPr>
        <w:t>推进基本公共体育服务体系建设，统筹建设全民健身场地</w:t>
      </w:r>
      <w:r>
        <w:rPr>
          <w:spacing w:val="-7"/>
          <w:w w:val="95"/>
          <w:sz w:val="32"/>
        </w:rPr>
        <w:t xml:space="preserve">设施，建设一批体育公园、社区健身中心等全民健身场地设施， </w:t>
      </w:r>
      <w:r>
        <w:rPr>
          <w:spacing w:val="-14"/>
          <w:sz w:val="32"/>
        </w:rPr>
        <w:t>推进建设城市慢跑步行道绿道，努力打造百姓身边</w:t>
      </w:r>
      <w:r>
        <w:rPr>
          <w:rFonts w:ascii="Times New Roman" w:hAnsi="Times New Roman" w:eastAsia="Times New Roman"/>
          <w:sz w:val="32"/>
        </w:rPr>
        <w:t>“15</w:t>
      </w:r>
      <w:r>
        <w:rPr>
          <w:rFonts w:ascii="Times New Roman" w:hAnsi="Times New Roman" w:eastAsia="Times New Roman"/>
          <w:spacing w:val="-4"/>
          <w:sz w:val="32"/>
        </w:rPr>
        <w:t xml:space="preserve"> </w:t>
      </w:r>
      <w:r>
        <w:rPr>
          <w:sz w:val="32"/>
        </w:rPr>
        <w:t>分钟健身</w:t>
      </w:r>
      <w:r>
        <w:rPr>
          <w:w w:val="95"/>
          <w:sz w:val="32"/>
        </w:rPr>
        <w:t>圈</w:t>
      </w:r>
      <w:r>
        <w:rPr>
          <w:rFonts w:ascii="Times New Roman" w:hAnsi="Times New Roman" w:eastAsia="Times New Roman"/>
          <w:spacing w:val="-30"/>
          <w:w w:val="95"/>
          <w:sz w:val="32"/>
        </w:rPr>
        <w:t>”</w:t>
      </w:r>
      <w:r>
        <w:rPr>
          <w:spacing w:val="-13"/>
          <w:w w:val="95"/>
          <w:sz w:val="32"/>
        </w:rPr>
        <w:t xml:space="preserve">，让想健身的群众有适当的场所。完善财政补助、服务收费、 </w:t>
      </w:r>
      <w:r>
        <w:rPr>
          <w:spacing w:val="4"/>
          <w:sz w:val="32"/>
        </w:rPr>
        <w:t>社会参与管理运营、安全保障等措施，推行公共体育设施免费或低收费开放，确保公共体育场地设施和符合开放条件的企事业单位体育场地设施全部向社会开放。鼓励社会力量举办或参与管理运营体育场地设施。</w:t>
      </w:r>
      <w:r>
        <w:rPr>
          <w:rFonts w:hint="eastAsia" w:ascii="楷体" w:hAnsi="楷体" w:eastAsia="楷体"/>
          <w:spacing w:val="5"/>
          <w:sz w:val="32"/>
        </w:rPr>
        <w:t>（</w:t>
      </w:r>
      <w:r>
        <w:rPr>
          <w:rFonts w:hint="eastAsia" w:ascii="楷体" w:hAnsi="楷体" w:eastAsia="楷体"/>
          <w:spacing w:val="4"/>
          <w:sz w:val="32"/>
        </w:rPr>
        <w:t>体育总局牵头，发展改革委、教育部、财政部、住房城乡建设部按职责分工负责）</w:t>
      </w:r>
    </w:p>
    <w:p>
      <w:pPr>
        <w:pStyle w:val="10"/>
        <w:numPr>
          <w:ilvl w:val="0"/>
          <w:numId w:val="8"/>
        </w:numPr>
        <w:tabs>
          <w:tab w:val="left" w:pos="1052"/>
        </w:tabs>
        <w:spacing w:before="12" w:after="0" w:line="350" w:lineRule="auto"/>
        <w:ind w:left="171" w:right="270" w:firstLine="638"/>
        <w:jc w:val="left"/>
        <w:rPr>
          <w:sz w:val="32"/>
        </w:rPr>
      </w:pPr>
      <w:r>
        <w:rPr>
          <w:spacing w:val="-9"/>
          <w:sz w:val="32"/>
        </w:rPr>
        <w:t>构建科学健身体系。建立针对不同人群、不同环境、不同</w:t>
      </w:r>
      <w:r>
        <w:rPr>
          <w:spacing w:val="5"/>
          <w:sz w:val="32"/>
        </w:rPr>
        <w:t>身体状况的运动促进健康指导方法，推动形成</w:t>
      </w:r>
      <w:r>
        <w:rPr>
          <w:rFonts w:ascii="Times New Roman" w:hAnsi="Times New Roman" w:eastAsia="Times New Roman"/>
          <w:spacing w:val="7"/>
          <w:sz w:val="32"/>
        </w:rPr>
        <w:t>“</w:t>
      </w:r>
      <w:r>
        <w:rPr>
          <w:spacing w:val="6"/>
          <w:sz w:val="32"/>
        </w:rPr>
        <w:t>体医结合</w:t>
      </w:r>
      <w:r>
        <w:rPr>
          <w:rFonts w:ascii="Times New Roman" w:hAnsi="Times New Roman" w:eastAsia="Times New Roman"/>
          <w:spacing w:val="7"/>
          <w:sz w:val="32"/>
        </w:rPr>
        <w:t>”</w:t>
      </w:r>
      <w:r>
        <w:rPr>
          <w:spacing w:val="3"/>
          <w:sz w:val="32"/>
        </w:rPr>
        <w:t>的疾</w:t>
      </w:r>
      <w:r>
        <w:rPr>
          <w:spacing w:val="-1"/>
          <w:w w:val="95"/>
          <w:sz w:val="32"/>
        </w:rPr>
        <w:t xml:space="preserve">病管理与健康服务模式。构建运动伤病预防、治疗与急救体系， </w:t>
      </w:r>
      <w:r>
        <w:rPr>
          <w:spacing w:val="4"/>
          <w:sz w:val="32"/>
        </w:rPr>
        <w:t>提高运动伤病防治能力。鼓励引导社会体育指导人员在健身场所等地方为群众提供科学健身指导服务，提高健身效果，预防运动损伤。（</w:t>
      </w:r>
      <w:r>
        <w:rPr>
          <w:rFonts w:hint="eastAsia" w:ascii="楷体" w:hAnsi="楷体" w:eastAsia="楷体"/>
          <w:spacing w:val="4"/>
          <w:sz w:val="32"/>
        </w:rPr>
        <w:t>体育总局牵头，卫生健康委按职责负责</w:t>
      </w:r>
      <w:r>
        <w:rPr>
          <w:spacing w:val="4"/>
          <w:sz w:val="32"/>
        </w:rPr>
        <w:t>）</w:t>
      </w:r>
    </w:p>
    <w:p>
      <w:pPr>
        <w:pStyle w:val="10"/>
        <w:numPr>
          <w:ilvl w:val="0"/>
          <w:numId w:val="8"/>
        </w:numPr>
        <w:tabs>
          <w:tab w:val="left" w:pos="1052"/>
        </w:tabs>
        <w:spacing w:before="9" w:after="0" w:line="350" w:lineRule="auto"/>
        <w:ind w:left="171" w:right="429" w:firstLine="638"/>
        <w:jc w:val="both"/>
        <w:rPr>
          <w:rFonts w:hint="eastAsia" w:ascii="楷体" w:eastAsia="楷体"/>
          <w:sz w:val="32"/>
        </w:rPr>
      </w:pPr>
      <w:r>
        <w:rPr>
          <w:spacing w:val="-7"/>
          <w:sz w:val="32"/>
        </w:rPr>
        <w:t>制定实施特殊人群的体质健康干预计划。鼓励和支持新建</w:t>
      </w:r>
      <w:r>
        <w:rPr>
          <w:spacing w:val="4"/>
          <w:w w:val="95"/>
          <w:sz w:val="32"/>
        </w:rPr>
        <w:t xml:space="preserve">工作场所建设适当的健身活动场地。强化对高校学生体质健康 水平的监测和评估干预，把高校学生体质健康水平纳入对高校 的考核评价。确保高校学生体育课时，丰富高校学生体育锻炼 </w:t>
      </w:r>
      <w:r>
        <w:rPr>
          <w:spacing w:val="5"/>
          <w:w w:val="95"/>
          <w:sz w:val="32"/>
        </w:rPr>
        <w:t>的形式和内容。</w:t>
      </w:r>
      <w:r>
        <w:rPr>
          <w:rFonts w:hint="eastAsia" w:ascii="楷体" w:eastAsia="楷体"/>
          <w:spacing w:val="5"/>
          <w:w w:val="95"/>
          <w:sz w:val="32"/>
        </w:rPr>
        <w:t>（</w:t>
      </w:r>
      <w:r>
        <w:rPr>
          <w:rFonts w:hint="eastAsia" w:ascii="楷体" w:eastAsia="楷体"/>
          <w:spacing w:val="4"/>
          <w:w w:val="95"/>
          <w:sz w:val="32"/>
        </w:rPr>
        <w:t xml:space="preserve">体育总局牵头，教育部、全国总工会等按职 </w:t>
      </w:r>
      <w:r>
        <w:rPr>
          <w:rFonts w:hint="eastAsia" w:ascii="楷体" w:eastAsia="楷体"/>
          <w:sz w:val="32"/>
        </w:rPr>
        <w:t>责分工负责）</w:t>
      </w:r>
    </w:p>
    <w:p>
      <w:pPr>
        <w:pStyle w:val="2"/>
        <w:spacing w:before="8"/>
      </w:pPr>
      <w:bookmarkStart w:id="27" w:name="（四）控烟行动。"/>
      <w:bookmarkEnd w:id="27"/>
      <w:r>
        <w:t>（四）控烟行动。</w:t>
      </w:r>
    </w:p>
    <w:p>
      <w:pPr>
        <w:spacing w:after="0"/>
        <w:sectPr>
          <w:pgSz w:w="11910" w:h="16840"/>
          <w:pgMar w:top="1540" w:right="1140" w:bottom="1380" w:left="1400" w:header="0" w:footer="1200" w:gutter="0"/>
        </w:sectPr>
      </w:pPr>
    </w:p>
    <w:p>
      <w:pPr>
        <w:pStyle w:val="3"/>
        <w:spacing w:line="350" w:lineRule="auto"/>
        <w:ind w:right="428"/>
        <w:jc w:val="both"/>
        <w:rPr>
          <w:rFonts w:ascii="Times New Roman" w:eastAsia="Times New Roman"/>
        </w:rPr>
      </w:pPr>
      <w:r>
        <w:rPr>
          <w:spacing w:val="4"/>
          <w:w w:val="95"/>
        </w:rPr>
        <w:t xml:space="preserve">烟草烟雾中含有多种已知的致癌物，有充分证据表明吸烟 可以导致多种恶性肿瘤，还会导致呼吸系统和心脑血管系统等 </w:t>
      </w:r>
      <w:r>
        <w:rPr>
          <w:spacing w:val="-15"/>
        </w:rPr>
        <w:t xml:space="preserve">多个系统疾病。根据世界卫生组织报告，每 </w:t>
      </w:r>
      <w:r>
        <w:rPr>
          <w:rFonts w:ascii="Times New Roman" w:eastAsia="Times New Roman"/>
        </w:rPr>
        <w:t>3</w:t>
      </w:r>
      <w:r>
        <w:rPr>
          <w:rFonts w:ascii="Times New Roman" w:eastAsia="Times New Roman"/>
          <w:spacing w:val="-4"/>
        </w:rPr>
        <w:t xml:space="preserve"> </w:t>
      </w:r>
      <w:r>
        <w:rPr>
          <w:spacing w:val="-11"/>
        </w:rPr>
        <w:t xml:space="preserve">个吸烟者中就有 </w:t>
      </w:r>
      <w:r>
        <w:rPr>
          <w:rFonts w:ascii="Times New Roman" w:eastAsia="Times New Roman"/>
        </w:rPr>
        <w:t>1</w:t>
      </w:r>
    </w:p>
    <w:p>
      <w:pPr>
        <w:pStyle w:val="3"/>
        <w:spacing w:before="4" w:line="350" w:lineRule="auto"/>
        <w:ind w:right="270" w:firstLine="0"/>
        <w:rPr>
          <w:rFonts w:ascii="Times New Roman" w:hAnsi="Times New Roman" w:eastAsia="Times New Roman"/>
        </w:rPr>
      </w:pPr>
      <w:r>
        <w:rPr>
          <w:spacing w:val="-17"/>
        </w:rPr>
        <w:t xml:space="preserve">个死于吸烟相关疾病，吸烟者的平均寿命比非吸烟者缩短 </w:t>
      </w:r>
      <w:r>
        <w:rPr>
          <w:rFonts w:ascii="Times New Roman" w:hAnsi="Times New Roman" w:eastAsia="Times New Roman"/>
        </w:rPr>
        <w:t>10</w:t>
      </w:r>
      <w:r>
        <w:rPr>
          <w:rFonts w:ascii="Times New Roman" w:hAnsi="Times New Roman" w:eastAsia="Times New Roman"/>
          <w:spacing w:val="-23"/>
        </w:rPr>
        <w:t xml:space="preserve"> </w:t>
      </w:r>
      <w:r>
        <w:t>年。</w:t>
      </w:r>
      <w:r>
        <w:rPr>
          <w:spacing w:val="4"/>
        </w:rPr>
        <w:t>烟草对健康的危害已经成为当今世界最严重的公共卫生问题之一。为此，世界卫生组织制定了第一部国际公共卫生条约</w:t>
      </w:r>
      <w:r>
        <w:rPr>
          <w:rFonts w:ascii="Times New Roman" w:hAnsi="Times New Roman" w:eastAsia="Times New Roman"/>
        </w:rPr>
        <w:t>——</w:t>
      </w:r>
    </w:p>
    <w:p>
      <w:pPr>
        <w:pStyle w:val="3"/>
        <w:spacing w:before="4" w:line="350" w:lineRule="auto"/>
        <w:ind w:firstLine="0"/>
        <w:jc w:val="both"/>
      </w:pPr>
      <w:r>
        <w:rPr>
          <w:spacing w:val="-2"/>
        </w:rPr>
        <w:t>《烟草控制框架公约》</w:t>
      </w:r>
      <w:r>
        <w:t>（</w:t>
      </w:r>
      <w:r>
        <w:rPr>
          <w:spacing w:val="-3"/>
        </w:rPr>
        <w:t>以下简称《公约》</w:t>
      </w:r>
      <w:r>
        <w:rPr>
          <w:spacing w:val="-5"/>
        </w:rPr>
        <w:t>）</w:t>
      </w:r>
      <w:r>
        <w:rPr>
          <w:spacing w:val="-24"/>
        </w:rPr>
        <w:t xml:space="preserve">。我国 </w:t>
      </w:r>
      <w:r>
        <w:rPr>
          <w:rFonts w:ascii="Times New Roman" w:eastAsia="Times New Roman"/>
        </w:rPr>
        <w:t>2003</w:t>
      </w:r>
      <w:r>
        <w:rPr>
          <w:rFonts w:ascii="Times New Roman" w:eastAsia="Times New Roman"/>
          <w:spacing w:val="-8"/>
        </w:rPr>
        <w:t xml:space="preserve"> </w:t>
      </w:r>
      <w:r>
        <w:t>年签</w:t>
      </w:r>
      <w:r>
        <w:rPr>
          <w:spacing w:val="-4"/>
        </w:rPr>
        <w:t>署《公约》，</w:t>
      </w:r>
      <w:r>
        <w:rPr>
          <w:rFonts w:ascii="Times New Roman" w:eastAsia="Times New Roman"/>
        </w:rPr>
        <w:t>2005</w:t>
      </w:r>
      <w:r>
        <w:rPr>
          <w:rFonts w:ascii="Times New Roman" w:eastAsia="Times New Roman"/>
          <w:spacing w:val="-8"/>
        </w:rPr>
        <w:t xml:space="preserve"> </w:t>
      </w:r>
      <w:r>
        <w:t>年经全国人民代表大会批准，</w:t>
      </w:r>
      <w:r>
        <w:rPr>
          <w:rFonts w:ascii="Times New Roman" w:eastAsia="Times New Roman"/>
        </w:rPr>
        <w:t>2006</w:t>
      </w:r>
      <w:r>
        <w:rPr>
          <w:rFonts w:ascii="Times New Roman" w:eastAsia="Times New Roman"/>
          <w:spacing w:val="-8"/>
        </w:rPr>
        <w:t xml:space="preserve"> </w:t>
      </w:r>
      <w:r>
        <w:rPr>
          <w:spacing w:val="-44"/>
        </w:rPr>
        <w:t xml:space="preserve">年 </w:t>
      </w:r>
      <w:r>
        <w:rPr>
          <w:rFonts w:ascii="Times New Roman" w:eastAsia="Times New Roman"/>
        </w:rPr>
        <w:t>1</w:t>
      </w:r>
      <w:r>
        <w:rPr>
          <w:rFonts w:ascii="Times New Roman" w:eastAsia="Times New Roman"/>
          <w:spacing w:val="-8"/>
        </w:rPr>
        <w:t xml:space="preserve"> </w:t>
      </w:r>
      <w:r>
        <w:t>月在</w:t>
      </w:r>
      <w:r>
        <w:rPr>
          <w:spacing w:val="-2"/>
        </w:rPr>
        <w:t xml:space="preserve">我国正式生效。我国现有吸烟者逾 </w:t>
      </w:r>
      <w:r>
        <w:rPr>
          <w:rFonts w:ascii="Times New Roman" w:eastAsia="Times New Roman"/>
        </w:rPr>
        <w:t>3</w:t>
      </w:r>
      <w:r>
        <w:rPr>
          <w:rFonts w:ascii="Times New Roman" w:eastAsia="Times New Roman"/>
          <w:spacing w:val="-6"/>
        </w:rPr>
        <w:t xml:space="preserve"> </w:t>
      </w:r>
      <w:r>
        <w:rPr>
          <w:spacing w:val="3"/>
        </w:rPr>
        <w:t>亿，迫切需要对烟草危害</w:t>
      </w:r>
    </w:p>
    <w:p>
      <w:pPr>
        <w:pStyle w:val="3"/>
        <w:spacing w:before="4"/>
        <w:ind w:right="0" w:firstLine="0"/>
        <w:jc w:val="both"/>
      </w:pPr>
      <w:r>
        <w:t xml:space="preserve">加以预防。每年因吸烟相关疾病所致的死亡人数超过 </w:t>
      </w:r>
      <w:r>
        <w:rPr>
          <w:rFonts w:ascii="Times New Roman" w:eastAsia="Times New Roman"/>
        </w:rPr>
        <w:t>100</w:t>
      </w:r>
      <w:r>
        <w:rPr>
          <w:rFonts w:ascii="Times New Roman" w:eastAsia="Times New Roman"/>
          <w:spacing w:val="-10"/>
        </w:rPr>
        <w:t xml:space="preserve"> </w:t>
      </w:r>
      <w:r>
        <w:rPr>
          <w:spacing w:val="2"/>
        </w:rPr>
        <w:t>万，</w:t>
      </w:r>
    </w:p>
    <w:p>
      <w:pPr>
        <w:pStyle w:val="3"/>
        <w:spacing w:before="190"/>
        <w:ind w:right="0" w:firstLine="0"/>
        <w:jc w:val="both"/>
      </w:pPr>
      <w:r>
        <w:t xml:space="preserve">因二手烟暴露导致的死亡人数超过 </w:t>
      </w:r>
      <w:r>
        <w:rPr>
          <w:rFonts w:ascii="Times New Roman" w:eastAsia="Times New Roman"/>
        </w:rPr>
        <w:t xml:space="preserve">10 </w:t>
      </w:r>
      <w:r>
        <w:t>万。</w:t>
      </w:r>
    </w:p>
    <w:p>
      <w:pPr>
        <w:pStyle w:val="3"/>
        <w:spacing w:before="190"/>
        <w:ind w:left="810" w:right="0" w:firstLine="0"/>
        <w:rPr>
          <w:rFonts w:hint="eastAsia" w:ascii="黑体" w:eastAsia="黑体"/>
        </w:rPr>
      </w:pPr>
      <w:bookmarkStart w:id="28" w:name="行动目标："/>
      <w:bookmarkEnd w:id="28"/>
      <w:r>
        <w:rPr>
          <w:rFonts w:hint="eastAsia" w:ascii="黑体" w:eastAsia="黑体"/>
        </w:rPr>
        <w:t>行动目标：</w:t>
      </w:r>
    </w:p>
    <w:p>
      <w:pPr>
        <w:pStyle w:val="3"/>
        <w:spacing w:before="190" w:line="350" w:lineRule="auto"/>
        <w:ind w:right="270"/>
      </w:pPr>
      <w:r>
        <w:rPr>
          <w:spacing w:val="43"/>
        </w:rPr>
        <w:t>到</w:t>
      </w:r>
      <w:r>
        <w:rPr>
          <w:rFonts w:ascii="Times New Roman" w:hAnsi="Times New Roman" w:eastAsia="Times New Roman"/>
        </w:rPr>
        <w:t xml:space="preserve">2022 </w:t>
      </w:r>
      <w:r>
        <w:rPr>
          <w:spacing w:val="22"/>
        </w:rPr>
        <w:t>年和</w:t>
      </w:r>
      <w:r>
        <w:rPr>
          <w:rFonts w:ascii="Times New Roman" w:hAnsi="Times New Roman" w:eastAsia="Times New Roman"/>
        </w:rPr>
        <w:t xml:space="preserve">2030 </w:t>
      </w:r>
      <w:r>
        <w:t>年，</w:t>
      </w:r>
      <w:r>
        <w:rPr>
          <w:rFonts w:ascii="Times New Roman" w:hAnsi="Times New Roman" w:eastAsia="Times New Roman"/>
        </w:rPr>
        <w:t xml:space="preserve">15 </w:t>
      </w:r>
      <w:r>
        <w:rPr>
          <w:spacing w:val="3"/>
        </w:rPr>
        <w:t>岁以上人群吸烟率分别低于</w:t>
      </w:r>
      <w:r>
        <w:rPr>
          <w:rFonts w:ascii="Times New Roman" w:hAnsi="Times New Roman" w:eastAsia="Times New Roman"/>
        </w:rPr>
        <w:t xml:space="preserve">24.5% </w:t>
      </w:r>
      <w:r>
        <w:rPr>
          <w:spacing w:val="-42"/>
        </w:rPr>
        <w:t xml:space="preserve">和 </w:t>
      </w:r>
      <w:r>
        <w:rPr>
          <w:rFonts w:ascii="Times New Roman" w:hAnsi="Times New Roman" w:eastAsia="Times New Roman"/>
        </w:rPr>
        <w:t>20%</w:t>
      </w:r>
      <w:r>
        <w:rPr>
          <w:spacing w:val="-5"/>
        </w:rPr>
        <w:t xml:space="preserve">；全面无烟法规保护的人口比例分别达到 </w:t>
      </w:r>
      <w:r>
        <w:rPr>
          <w:rFonts w:ascii="Times New Roman" w:hAnsi="Times New Roman" w:eastAsia="Times New Roman"/>
        </w:rPr>
        <w:t>30%</w:t>
      </w:r>
      <w:r>
        <w:t>及以上和</w:t>
      </w:r>
      <w:r>
        <w:rPr>
          <w:rFonts w:ascii="Times New Roman" w:hAnsi="Times New Roman" w:eastAsia="Times New Roman"/>
        </w:rPr>
        <w:t>80%</w:t>
      </w:r>
      <w:r>
        <w:rPr>
          <w:spacing w:val="-13"/>
        </w:rPr>
        <w:t xml:space="preserve">及以上；把各级党政机关建设成无烟机关，逐步在全国范围内实现室内公共场所、室内工作场所和公共交通工具全面禁烟； </w:t>
      </w:r>
      <w:r>
        <w:rPr>
          <w:spacing w:val="4"/>
        </w:rPr>
        <w:t>将违反有关法律法规向未成年人出售烟草的商家、发布烟草广</w:t>
      </w:r>
      <w:r>
        <w:rPr>
          <w:spacing w:val="-7"/>
        </w:rPr>
        <w:t>告的企业和商家，纳入社会诚信体系</w:t>
      </w:r>
      <w:r>
        <w:rPr>
          <w:rFonts w:ascii="Times New Roman" w:hAnsi="Times New Roman" w:eastAsia="Times New Roman"/>
        </w:rPr>
        <w:t>“</w:t>
      </w:r>
      <w:r>
        <w:t>黑名单</w:t>
      </w:r>
      <w:r>
        <w:rPr>
          <w:rFonts w:ascii="Times New Roman" w:hAnsi="Times New Roman" w:eastAsia="Times New Roman"/>
          <w:spacing w:val="-40"/>
        </w:rPr>
        <w:t>”</w:t>
      </w:r>
      <w:r>
        <w:rPr>
          <w:spacing w:val="-7"/>
        </w:rPr>
        <w:t>，依法依规实施联合惩戒。</w:t>
      </w:r>
    </w:p>
    <w:p>
      <w:pPr>
        <w:pStyle w:val="3"/>
        <w:spacing w:before="10" w:line="350" w:lineRule="auto"/>
        <w:ind w:right="215"/>
      </w:pPr>
      <w:bookmarkStart w:id="29" w:name="提倡个人戒烟越早越好，什么时候都不晚；创建无烟家庭，保护家人免受二手烟危害；领导"/>
      <w:bookmarkEnd w:id="29"/>
      <w:r>
        <w:t>提倡个人戒烟越早越好，什么时候都不晚；创建无烟家庭， 保护家人免受二手烟危害；领导干部、医生和教师发挥引领作用；鼓励企业、单位出台室内全面无烟政策，为员工营造无烟工作环境，为吸烟员工戒烟提供必要的帮助。</w:t>
      </w:r>
    </w:p>
    <w:p>
      <w:pPr>
        <w:spacing w:after="0" w:line="350" w:lineRule="auto"/>
        <w:sectPr>
          <w:pgSz w:w="11910" w:h="16840"/>
          <w:pgMar w:top="1540" w:right="1140" w:bottom="1380" w:left="1400" w:header="0" w:footer="1200" w:gutter="0"/>
        </w:sectPr>
      </w:pPr>
    </w:p>
    <w:p>
      <w:pPr>
        <w:pStyle w:val="2"/>
        <w:spacing w:before="43"/>
        <w:rPr>
          <w:rFonts w:hint="eastAsia" w:ascii="仿宋" w:hAnsi="仿宋" w:eastAsia="仿宋"/>
        </w:rPr>
      </w:pPr>
      <w:bookmarkStart w:id="30" w:name="——个人和家庭："/>
      <w:bookmarkEnd w:id="30"/>
      <w:r>
        <w:rPr>
          <w:rFonts w:ascii="Times New Roman" w:hAnsi="Times New Roman" w:eastAsia="Times New Roman"/>
        </w:rPr>
        <w:t>——</w:t>
      </w:r>
      <w:r>
        <w:rPr>
          <w:rFonts w:hint="eastAsia" w:ascii="仿宋" w:hAnsi="仿宋" w:eastAsia="仿宋"/>
        </w:rPr>
        <w:t>个人和家庭：</w:t>
      </w:r>
    </w:p>
    <w:p>
      <w:pPr>
        <w:pStyle w:val="10"/>
        <w:numPr>
          <w:ilvl w:val="0"/>
          <w:numId w:val="9"/>
        </w:numPr>
        <w:tabs>
          <w:tab w:val="left" w:pos="1052"/>
        </w:tabs>
        <w:spacing w:before="190" w:after="0" w:line="350" w:lineRule="auto"/>
        <w:ind w:left="171" w:right="270" w:firstLine="638"/>
        <w:jc w:val="left"/>
        <w:rPr>
          <w:sz w:val="32"/>
        </w:rPr>
      </w:pPr>
      <w:r>
        <w:rPr>
          <w:spacing w:val="-7"/>
          <w:sz w:val="32"/>
        </w:rPr>
        <w:t>充分了解吸烟和二手烟暴露的严重危害。不吸烟者不去尝</w:t>
      </w:r>
      <w:r>
        <w:rPr>
          <w:spacing w:val="-8"/>
          <w:sz w:val="32"/>
        </w:rPr>
        <w:t xml:space="preserve">试吸烟。吸烟者尽可能戒烟，戒烟越早越好，什么时候都不晚， </w:t>
      </w:r>
      <w:r>
        <w:rPr>
          <w:spacing w:val="3"/>
          <w:sz w:val="32"/>
        </w:rPr>
        <w:t>药物治疗和尼古丁替代疗法可以提高长期戒烟率。不在禁止吸烟场所吸烟。</w:t>
      </w:r>
    </w:p>
    <w:p>
      <w:pPr>
        <w:pStyle w:val="10"/>
        <w:numPr>
          <w:ilvl w:val="0"/>
          <w:numId w:val="9"/>
        </w:numPr>
        <w:tabs>
          <w:tab w:val="left" w:pos="1052"/>
        </w:tabs>
        <w:spacing w:before="5" w:after="0" w:line="350" w:lineRule="auto"/>
        <w:ind w:left="171" w:right="429" w:firstLine="638"/>
        <w:jc w:val="both"/>
        <w:rPr>
          <w:sz w:val="32"/>
        </w:rPr>
      </w:pPr>
      <w:r>
        <w:rPr>
          <w:spacing w:val="-11"/>
          <w:sz w:val="32"/>
        </w:rPr>
        <w:t>领导干部、医务人员和教师发挥引领作用。领导干部要按</w:t>
      </w:r>
      <w:r>
        <w:rPr>
          <w:spacing w:val="4"/>
          <w:w w:val="95"/>
          <w:sz w:val="32"/>
        </w:rPr>
        <w:t xml:space="preserve">照中共中央办公厅、国务院办公厅《关于领导干部带头在公共 场所禁烟有关事项的通知》要求起模范带头作用，公务活动参 加人员不得吸烟、敬烟、劝烟；医务人员不允许在工作时间吸 </w:t>
      </w:r>
      <w:r>
        <w:rPr>
          <w:sz w:val="32"/>
        </w:rPr>
        <w:t>烟，并劝导、帮助患者戒烟；教师不得当着学生的面吸烟。</w:t>
      </w:r>
    </w:p>
    <w:p>
      <w:pPr>
        <w:pStyle w:val="10"/>
        <w:numPr>
          <w:ilvl w:val="0"/>
          <w:numId w:val="9"/>
        </w:numPr>
        <w:tabs>
          <w:tab w:val="left" w:pos="1052"/>
        </w:tabs>
        <w:spacing w:before="7" w:after="0" w:line="350" w:lineRule="auto"/>
        <w:ind w:left="171" w:right="429" w:firstLine="638"/>
        <w:jc w:val="left"/>
        <w:rPr>
          <w:sz w:val="32"/>
        </w:rPr>
      </w:pPr>
      <w:r>
        <w:rPr>
          <w:spacing w:val="-11"/>
          <w:sz w:val="32"/>
        </w:rPr>
        <w:t>创建无烟家庭，劝导家庭成员不吸烟或主动戒烟，教育未成年人不吸烟，让家人免受二手烟危害。</w:t>
      </w:r>
    </w:p>
    <w:p>
      <w:pPr>
        <w:pStyle w:val="10"/>
        <w:numPr>
          <w:ilvl w:val="0"/>
          <w:numId w:val="9"/>
        </w:numPr>
        <w:tabs>
          <w:tab w:val="left" w:pos="1052"/>
        </w:tabs>
        <w:spacing w:before="3" w:after="0" w:line="350" w:lineRule="auto"/>
        <w:ind w:left="171" w:right="429" w:firstLine="638"/>
        <w:jc w:val="left"/>
        <w:rPr>
          <w:sz w:val="32"/>
        </w:rPr>
      </w:pPr>
      <w:r>
        <w:rPr>
          <w:spacing w:val="-9"/>
          <w:sz w:val="32"/>
        </w:rPr>
        <w:t>在禁止吸烟场所劝阻他人吸烟。依法投诉举报在禁止吸烟场所吸烟行为，支持维护无烟环境。</w:t>
      </w:r>
    </w:p>
    <w:p>
      <w:pPr>
        <w:pStyle w:val="2"/>
        <w:spacing w:before="3"/>
        <w:rPr>
          <w:rFonts w:hint="eastAsia" w:ascii="仿宋" w:hAnsi="仿宋" w:eastAsia="仿宋"/>
        </w:rPr>
      </w:pPr>
      <w:bookmarkStart w:id="31" w:name="——社会："/>
      <w:bookmarkEnd w:id="31"/>
      <w:r>
        <w:rPr>
          <w:rFonts w:ascii="Times New Roman" w:hAnsi="Times New Roman" w:eastAsia="Times New Roman"/>
          <w:w w:val="95"/>
        </w:rPr>
        <w:t>——</w:t>
      </w:r>
      <w:r>
        <w:rPr>
          <w:rFonts w:hint="eastAsia" w:ascii="仿宋" w:hAnsi="仿宋" w:eastAsia="仿宋"/>
          <w:w w:val="95"/>
        </w:rPr>
        <w:t>社会：</w:t>
      </w:r>
    </w:p>
    <w:p>
      <w:pPr>
        <w:pStyle w:val="10"/>
        <w:numPr>
          <w:ilvl w:val="0"/>
          <w:numId w:val="10"/>
        </w:numPr>
        <w:tabs>
          <w:tab w:val="left" w:pos="1052"/>
        </w:tabs>
        <w:spacing w:before="190" w:after="0" w:line="350" w:lineRule="auto"/>
        <w:ind w:left="171" w:right="270" w:firstLine="638"/>
        <w:jc w:val="left"/>
        <w:rPr>
          <w:sz w:val="32"/>
        </w:rPr>
      </w:pPr>
      <w:r>
        <w:rPr>
          <w:spacing w:val="-18"/>
          <w:w w:val="95"/>
          <w:sz w:val="32"/>
        </w:rPr>
        <w:t xml:space="preserve">提倡无烟文化，提高社会文明程度。积极利用世界无烟日、 </w:t>
      </w:r>
      <w:r>
        <w:rPr>
          <w:spacing w:val="4"/>
          <w:sz w:val="32"/>
        </w:rPr>
        <w:t>世界心脏日、国际肺癌日等卫生健康主题日开展控烟宣传；倡导无烟婚礼、无烟家庭。</w:t>
      </w:r>
    </w:p>
    <w:p>
      <w:pPr>
        <w:pStyle w:val="10"/>
        <w:numPr>
          <w:ilvl w:val="0"/>
          <w:numId w:val="10"/>
        </w:numPr>
        <w:tabs>
          <w:tab w:val="left" w:pos="1052"/>
        </w:tabs>
        <w:spacing w:before="4" w:after="0" w:line="350" w:lineRule="auto"/>
        <w:ind w:left="171" w:right="429" w:firstLine="638"/>
        <w:jc w:val="both"/>
        <w:rPr>
          <w:sz w:val="32"/>
        </w:rPr>
      </w:pPr>
      <w:r>
        <w:rPr>
          <w:spacing w:val="-9"/>
          <w:sz w:val="32"/>
        </w:rPr>
        <w:t>关注青少年吸烟问题，为青少年营造远离烟草的环境。将</w:t>
      </w:r>
      <w:r>
        <w:rPr>
          <w:spacing w:val="4"/>
          <w:w w:val="95"/>
          <w:sz w:val="32"/>
        </w:rPr>
        <w:t xml:space="preserve">烟草危害和二手烟危害等控烟相关知识纳入中小学生健康教育 </w:t>
      </w:r>
      <w:r>
        <w:rPr>
          <w:sz w:val="32"/>
        </w:rPr>
        <w:t>课程。不向未成年人售烟。加强无烟学校建设。</w:t>
      </w:r>
    </w:p>
    <w:p>
      <w:pPr>
        <w:pStyle w:val="10"/>
        <w:numPr>
          <w:ilvl w:val="0"/>
          <w:numId w:val="10"/>
        </w:numPr>
        <w:tabs>
          <w:tab w:val="left" w:pos="1052"/>
        </w:tabs>
        <w:spacing w:before="4" w:after="0" w:line="350" w:lineRule="auto"/>
        <w:ind w:left="171" w:right="429" w:firstLine="638"/>
        <w:jc w:val="left"/>
        <w:rPr>
          <w:sz w:val="32"/>
        </w:rPr>
      </w:pPr>
      <w:r>
        <w:rPr>
          <w:spacing w:val="-11"/>
          <w:sz w:val="32"/>
        </w:rPr>
        <w:t>鼓励企业、单位出台室内全面无烟规定，为员工营造无烟工作环境，为员工戒烟提供必要的支持。</w:t>
      </w:r>
    </w:p>
    <w:p>
      <w:pPr>
        <w:spacing w:after="0" w:line="350" w:lineRule="auto"/>
        <w:jc w:val="left"/>
        <w:rPr>
          <w:sz w:val="32"/>
        </w:rPr>
        <w:sectPr>
          <w:pgSz w:w="11910" w:h="16840"/>
          <w:pgMar w:top="1540" w:right="1140" w:bottom="1380" w:left="1400" w:header="0" w:footer="1200" w:gutter="0"/>
        </w:sectPr>
      </w:pPr>
    </w:p>
    <w:p>
      <w:pPr>
        <w:pStyle w:val="10"/>
        <w:numPr>
          <w:ilvl w:val="0"/>
          <w:numId w:val="10"/>
        </w:numPr>
        <w:tabs>
          <w:tab w:val="left" w:pos="1052"/>
        </w:tabs>
        <w:spacing w:before="43" w:after="0" w:line="350" w:lineRule="auto"/>
        <w:ind w:left="171" w:right="429" w:firstLine="638"/>
        <w:jc w:val="left"/>
        <w:rPr>
          <w:sz w:val="32"/>
        </w:rPr>
      </w:pPr>
      <w:r>
        <w:rPr>
          <w:spacing w:val="-8"/>
          <w:w w:val="95"/>
          <w:sz w:val="32"/>
        </w:rPr>
        <w:t>充分发挥居</w:t>
      </w:r>
      <w:r>
        <w:rPr>
          <w:w w:val="95"/>
          <w:sz w:val="32"/>
        </w:rPr>
        <w:t>（村</w:t>
      </w:r>
      <w:r>
        <w:rPr>
          <w:spacing w:val="-36"/>
          <w:w w:val="95"/>
          <w:sz w:val="32"/>
        </w:rPr>
        <w:t>）</w:t>
      </w:r>
      <w:r>
        <w:rPr>
          <w:spacing w:val="-6"/>
          <w:w w:val="95"/>
          <w:sz w:val="32"/>
        </w:rPr>
        <w:t xml:space="preserve">委会的作用，协助控烟政策在辖区内得 </w:t>
      </w:r>
      <w:r>
        <w:rPr>
          <w:spacing w:val="-6"/>
          <w:sz w:val="32"/>
        </w:rPr>
        <w:t>到落实。</w:t>
      </w:r>
    </w:p>
    <w:p>
      <w:pPr>
        <w:pStyle w:val="10"/>
        <w:numPr>
          <w:ilvl w:val="0"/>
          <w:numId w:val="10"/>
        </w:numPr>
        <w:tabs>
          <w:tab w:val="left" w:pos="1052"/>
        </w:tabs>
        <w:spacing w:before="3" w:after="0" w:line="350" w:lineRule="auto"/>
        <w:ind w:left="171" w:right="429" w:firstLine="638"/>
        <w:jc w:val="left"/>
        <w:rPr>
          <w:sz w:val="32"/>
        </w:rPr>
      </w:pPr>
      <w:r>
        <w:rPr>
          <w:spacing w:val="-11"/>
          <w:sz w:val="32"/>
        </w:rPr>
        <w:t>鼓励志愿服务组织、其他社会组织和个人通过各种形式参与控烟工作或者为控烟工作提供支持。</w:t>
      </w:r>
    </w:p>
    <w:p>
      <w:pPr>
        <w:pStyle w:val="2"/>
        <w:spacing w:before="2"/>
        <w:rPr>
          <w:rFonts w:hint="eastAsia" w:ascii="仿宋" w:hAnsi="仿宋" w:eastAsia="仿宋"/>
        </w:rPr>
      </w:pPr>
      <w:bookmarkStart w:id="32" w:name="——政府："/>
      <w:bookmarkEnd w:id="32"/>
      <w:r>
        <w:rPr>
          <w:rFonts w:ascii="Times New Roman" w:hAnsi="Times New Roman" w:eastAsia="Times New Roman"/>
        </w:rPr>
        <w:t>——</w:t>
      </w:r>
      <w:r>
        <w:rPr>
          <w:rFonts w:hint="eastAsia" w:ascii="仿宋" w:hAnsi="仿宋" w:eastAsia="仿宋"/>
        </w:rPr>
        <w:t>政府：</w:t>
      </w:r>
    </w:p>
    <w:p>
      <w:pPr>
        <w:pStyle w:val="10"/>
        <w:numPr>
          <w:ilvl w:val="0"/>
          <w:numId w:val="11"/>
        </w:numPr>
        <w:tabs>
          <w:tab w:val="left" w:pos="1052"/>
        </w:tabs>
        <w:spacing w:before="190" w:after="0" w:line="350" w:lineRule="auto"/>
        <w:ind w:left="171" w:right="429" w:firstLine="638"/>
        <w:jc w:val="both"/>
        <w:rPr>
          <w:rFonts w:hint="eastAsia" w:ascii="楷体" w:eastAsia="楷体"/>
          <w:sz w:val="32"/>
        </w:rPr>
      </w:pPr>
      <w:r>
        <w:rPr>
          <w:spacing w:val="-7"/>
          <w:sz w:val="32"/>
        </w:rPr>
        <w:t>逐步提高全面无烟法规覆盖人口比例，在全国范围内实现</w:t>
      </w:r>
      <w:r>
        <w:rPr>
          <w:spacing w:val="4"/>
          <w:w w:val="95"/>
          <w:sz w:val="32"/>
        </w:rPr>
        <w:t xml:space="preserve">室内公共场所、室内工作场所和公共交通工具全面禁烟。积极 推进无烟环境建设，强化公共场所控烟监督执法。把各级党政 </w:t>
      </w:r>
      <w:r>
        <w:rPr>
          <w:spacing w:val="3"/>
          <w:w w:val="95"/>
          <w:sz w:val="32"/>
        </w:rPr>
        <w:t>机关建设成无烟机关。</w:t>
      </w:r>
      <w:r>
        <w:rPr>
          <w:rFonts w:hint="eastAsia" w:ascii="楷体" w:eastAsia="楷体"/>
          <w:spacing w:val="5"/>
          <w:w w:val="95"/>
          <w:sz w:val="32"/>
        </w:rPr>
        <w:t>（</w:t>
      </w:r>
      <w:r>
        <w:rPr>
          <w:rFonts w:hint="eastAsia" w:ascii="楷体" w:eastAsia="楷体"/>
          <w:spacing w:val="4"/>
          <w:w w:val="95"/>
          <w:sz w:val="32"/>
        </w:rPr>
        <w:t xml:space="preserve">卫生健康委牵头，中央文明办、烟草 </w:t>
      </w:r>
      <w:r>
        <w:rPr>
          <w:rFonts w:hint="eastAsia" w:ascii="楷体" w:eastAsia="楷体"/>
          <w:spacing w:val="4"/>
          <w:sz w:val="32"/>
        </w:rPr>
        <w:t>局按职责分工负责）</w:t>
      </w:r>
    </w:p>
    <w:p>
      <w:pPr>
        <w:pStyle w:val="10"/>
        <w:numPr>
          <w:ilvl w:val="0"/>
          <w:numId w:val="11"/>
        </w:numPr>
        <w:tabs>
          <w:tab w:val="left" w:pos="1052"/>
        </w:tabs>
        <w:spacing w:before="7" w:after="0" w:line="240" w:lineRule="auto"/>
        <w:ind w:left="1051" w:right="0" w:hanging="242"/>
        <w:jc w:val="left"/>
        <w:rPr>
          <w:sz w:val="32"/>
        </w:rPr>
      </w:pPr>
      <w:r>
        <w:rPr>
          <w:spacing w:val="-19"/>
          <w:sz w:val="32"/>
        </w:rPr>
        <w:t>研究推进采取税收、价格调节等综合手段，提高控烟成效。</w:t>
      </w:r>
    </w:p>
    <w:p>
      <w:pPr>
        <w:pStyle w:val="3"/>
        <w:spacing w:before="190"/>
        <w:ind w:right="0" w:firstLine="0"/>
        <w:rPr>
          <w:rFonts w:hint="eastAsia" w:ascii="楷体" w:eastAsia="楷体"/>
        </w:rPr>
      </w:pPr>
      <w:r>
        <w:rPr>
          <w:rFonts w:hint="eastAsia" w:ascii="楷体" w:eastAsia="楷体"/>
        </w:rPr>
        <w:t>（发展改革委、财政部、税务总局、烟草局按职责分工负责）</w:t>
      </w:r>
    </w:p>
    <w:p>
      <w:pPr>
        <w:pStyle w:val="10"/>
        <w:numPr>
          <w:ilvl w:val="0"/>
          <w:numId w:val="11"/>
        </w:numPr>
        <w:tabs>
          <w:tab w:val="left" w:pos="1052"/>
        </w:tabs>
        <w:spacing w:before="190" w:after="0" w:line="350" w:lineRule="auto"/>
        <w:ind w:left="171" w:right="314" w:firstLine="638"/>
        <w:jc w:val="left"/>
        <w:rPr>
          <w:rFonts w:hint="eastAsia" w:ascii="楷体" w:eastAsia="楷体"/>
          <w:sz w:val="32"/>
        </w:rPr>
      </w:pPr>
      <w:r>
        <w:rPr>
          <w:sz w:val="32"/>
        </w:rPr>
        <w:t xml:space="preserve">加大控烟宣传教育力度，进一步加强卷烟包装标识管理， </w:t>
      </w:r>
      <w:r>
        <w:rPr>
          <w:spacing w:val="4"/>
          <w:sz w:val="32"/>
        </w:rPr>
        <w:t>完善烟草危害警示内容和形式，提高健康危害警示效果，提高公众对烟草危害健康的认知程度。制定完善相关技术标准并监</w:t>
      </w:r>
      <w:r>
        <w:rPr>
          <w:spacing w:val="5"/>
          <w:sz w:val="32"/>
        </w:rPr>
        <w:t>督执行。限制影视作品中的吸烟镜头。</w:t>
      </w:r>
      <w:r>
        <w:rPr>
          <w:rFonts w:hint="eastAsia" w:ascii="楷体" w:eastAsia="楷体"/>
          <w:spacing w:val="5"/>
          <w:sz w:val="32"/>
        </w:rPr>
        <w:t>（</w:t>
      </w:r>
      <w:r>
        <w:rPr>
          <w:rFonts w:hint="eastAsia" w:ascii="楷体" w:eastAsia="楷体"/>
          <w:spacing w:val="4"/>
          <w:sz w:val="32"/>
        </w:rPr>
        <w:t>卫生健康委牵头，中央宣传部、工业和信息化部、市场监管总局、广电总局、烟草局按职责分工负责）</w:t>
      </w:r>
    </w:p>
    <w:p>
      <w:pPr>
        <w:pStyle w:val="10"/>
        <w:numPr>
          <w:ilvl w:val="0"/>
          <w:numId w:val="11"/>
        </w:numPr>
        <w:tabs>
          <w:tab w:val="left" w:pos="1052"/>
        </w:tabs>
        <w:spacing w:before="9" w:after="0" w:line="350" w:lineRule="auto"/>
        <w:ind w:left="171" w:right="270" w:firstLine="638"/>
        <w:jc w:val="both"/>
        <w:rPr>
          <w:sz w:val="32"/>
        </w:rPr>
      </w:pPr>
      <w:r>
        <w:rPr>
          <w:spacing w:val="-9"/>
          <w:sz w:val="32"/>
        </w:rPr>
        <w:t>逐步建立和完善戒烟服务体系，将询问患者吸烟史纳入到</w:t>
      </w:r>
      <w:r>
        <w:rPr>
          <w:spacing w:val="4"/>
          <w:sz w:val="32"/>
        </w:rPr>
        <w:t>日常的门诊问诊中，推广简短戒烟干预服务和烟草依赖疾病诊治。加强对戒烟服务的宣传和推广，使更多吸烟者了解到其在</w:t>
      </w:r>
      <w:r>
        <w:rPr>
          <w:spacing w:val="-1"/>
          <w:w w:val="95"/>
          <w:sz w:val="32"/>
        </w:rPr>
        <w:t>戒烟过程中能获得的帮助。创建无烟医院，推进医院全面禁烟。</w:t>
      </w:r>
    </w:p>
    <w:p>
      <w:pPr>
        <w:pStyle w:val="3"/>
        <w:spacing w:before="5"/>
        <w:ind w:right="0" w:firstLine="0"/>
        <w:rPr>
          <w:rFonts w:hint="eastAsia" w:ascii="楷体" w:eastAsia="楷体"/>
        </w:rPr>
      </w:pPr>
      <w:r>
        <w:rPr>
          <w:rFonts w:hint="eastAsia" w:ascii="楷体" w:eastAsia="楷体"/>
        </w:rPr>
        <w:t>（卫生健康委负责）</w:t>
      </w:r>
    </w:p>
    <w:p>
      <w:pPr>
        <w:spacing w:after="0"/>
        <w:rPr>
          <w:rFonts w:hint="eastAsia" w:ascii="楷体" w:eastAsia="楷体"/>
        </w:rPr>
        <w:sectPr>
          <w:footerReference r:id="rId7" w:type="default"/>
          <w:pgSz w:w="11910" w:h="16840"/>
          <w:pgMar w:top="1540" w:right="1140" w:bottom="1380" w:left="1400" w:header="0" w:footer="1200" w:gutter="0"/>
          <w:pgNumType w:start="40"/>
        </w:sectPr>
      </w:pPr>
    </w:p>
    <w:p>
      <w:pPr>
        <w:pStyle w:val="10"/>
        <w:numPr>
          <w:ilvl w:val="0"/>
          <w:numId w:val="11"/>
        </w:numPr>
        <w:tabs>
          <w:tab w:val="left" w:pos="1052"/>
        </w:tabs>
        <w:spacing w:before="43" w:after="0" w:line="350" w:lineRule="auto"/>
        <w:ind w:left="171" w:right="429" w:firstLine="638"/>
        <w:jc w:val="both"/>
        <w:rPr>
          <w:rFonts w:hint="eastAsia" w:ascii="楷体" w:eastAsia="楷体"/>
          <w:sz w:val="32"/>
        </w:rPr>
      </w:pPr>
      <w:r>
        <w:rPr>
          <w:spacing w:val="-11"/>
          <w:w w:val="95"/>
          <w:sz w:val="32"/>
        </w:rPr>
        <w:t xml:space="preserve">全面落实《中华人民共和国广告法》，加大烟草广告监督 </w:t>
      </w:r>
      <w:r>
        <w:rPr>
          <w:spacing w:val="4"/>
          <w:w w:val="95"/>
          <w:sz w:val="32"/>
        </w:rPr>
        <w:t xml:space="preserve">执法力度，严厉查处在大众传播媒介、公共场所、公共交通工 具、户外发布烟草广告的违法行为。依法规范烟草促销、赞助 </w:t>
      </w:r>
      <w:r>
        <w:rPr>
          <w:spacing w:val="5"/>
          <w:w w:val="95"/>
          <w:sz w:val="32"/>
        </w:rPr>
        <w:t>等行为。</w:t>
      </w:r>
      <w:r>
        <w:rPr>
          <w:rFonts w:hint="eastAsia" w:ascii="楷体" w:eastAsia="楷体"/>
          <w:spacing w:val="5"/>
          <w:w w:val="95"/>
          <w:sz w:val="32"/>
        </w:rPr>
        <w:t>（</w:t>
      </w:r>
      <w:r>
        <w:rPr>
          <w:rFonts w:hint="eastAsia" w:ascii="楷体" w:eastAsia="楷体"/>
          <w:spacing w:val="4"/>
          <w:w w:val="95"/>
          <w:sz w:val="32"/>
        </w:rPr>
        <w:t xml:space="preserve">市场监管总局、交通运输部、国家铁路局、民航局 </w:t>
      </w:r>
      <w:r>
        <w:rPr>
          <w:rFonts w:hint="eastAsia" w:ascii="楷体" w:eastAsia="楷体"/>
          <w:sz w:val="32"/>
        </w:rPr>
        <w:t>按职责分工负责）</w:t>
      </w:r>
    </w:p>
    <w:p>
      <w:pPr>
        <w:pStyle w:val="10"/>
        <w:numPr>
          <w:ilvl w:val="0"/>
          <w:numId w:val="11"/>
        </w:numPr>
        <w:tabs>
          <w:tab w:val="left" w:pos="1052"/>
        </w:tabs>
        <w:spacing w:before="7" w:after="0" w:line="350" w:lineRule="auto"/>
        <w:ind w:left="171" w:right="270" w:firstLine="638"/>
        <w:jc w:val="left"/>
        <w:rPr>
          <w:rFonts w:hint="eastAsia" w:ascii="楷体" w:eastAsia="楷体"/>
          <w:sz w:val="32"/>
        </w:rPr>
      </w:pPr>
      <w:r>
        <w:rPr>
          <w:spacing w:val="-7"/>
          <w:sz w:val="32"/>
        </w:rPr>
        <w:t>按照烟草控制框架公约履约进度要求，加快研究建立完善</w:t>
      </w:r>
      <w:r>
        <w:rPr>
          <w:spacing w:val="4"/>
          <w:sz w:val="32"/>
        </w:rPr>
        <w:t>的烟草制品成分管制和信息披露制度。强化国家级烟草制品监</w:t>
      </w:r>
      <w:r>
        <w:rPr>
          <w:w w:val="95"/>
          <w:sz w:val="32"/>
        </w:rPr>
        <w:t xml:space="preserve">督监测的独立性和权威性，完善烟草制品安全性检测评估体系， </w:t>
      </w:r>
      <w:r>
        <w:rPr>
          <w:spacing w:val="5"/>
          <w:sz w:val="32"/>
        </w:rPr>
        <w:t>确保公正透明，保障公众知情和监督的权利。</w:t>
      </w:r>
      <w:r>
        <w:rPr>
          <w:rFonts w:hint="eastAsia" w:ascii="楷体" w:eastAsia="楷体"/>
          <w:spacing w:val="5"/>
          <w:sz w:val="32"/>
        </w:rPr>
        <w:t>（</w:t>
      </w:r>
      <w:r>
        <w:rPr>
          <w:rFonts w:hint="eastAsia" w:ascii="楷体" w:eastAsia="楷体"/>
          <w:spacing w:val="4"/>
          <w:sz w:val="32"/>
        </w:rPr>
        <w:t>卫生健康委、市场监管总局、烟草局按职责分工负责）</w:t>
      </w:r>
    </w:p>
    <w:p>
      <w:pPr>
        <w:pStyle w:val="10"/>
        <w:numPr>
          <w:ilvl w:val="0"/>
          <w:numId w:val="11"/>
        </w:numPr>
        <w:tabs>
          <w:tab w:val="left" w:pos="1052"/>
        </w:tabs>
        <w:spacing w:before="7" w:after="0" w:line="350" w:lineRule="auto"/>
        <w:ind w:left="171" w:right="270" w:firstLine="638"/>
        <w:jc w:val="left"/>
        <w:rPr>
          <w:rFonts w:hint="eastAsia" w:ascii="楷体" w:hAnsi="楷体" w:eastAsia="楷体"/>
          <w:sz w:val="32"/>
        </w:rPr>
      </w:pPr>
      <w:r>
        <w:rPr>
          <w:spacing w:val="-9"/>
          <w:sz w:val="32"/>
        </w:rPr>
        <w:t>禁止向未成年人销售烟草制品。将违反有关法律法规向未</w:t>
      </w:r>
      <w:r>
        <w:rPr>
          <w:spacing w:val="4"/>
          <w:sz w:val="32"/>
        </w:rPr>
        <w:t>成年人出售烟草的商家、发布烟草广告的企业和商家，纳入社</w:t>
      </w:r>
      <w:r>
        <w:rPr>
          <w:spacing w:val="2"/>
          <w:sz w:val="32"/>
        </w:rPr>
        <w:t>会诚信体系</w:t>
      </w:r>
      <w:r>
        <w:rPr>
          <w:rFonts w:ascii="Times New Roman" w:hAnsi="Times New Roman" w:eastAsia="Times New Roman"/>
          <w:sz w:val="32"/>
        </w:rPr>
        <w:t>“</w:t>
      </w:r>
      <w:r>
        <w:rPr>
          <w:sz w:val="32"/>
        </w:rPr>
        <w:t>黑名单</w:t>
      </w:r>
      <w:r>
        <w:rPr>
          <w:rFonts w:ascii="Times New Roman" w:hAnsi="Times New Roman" w:eastAsia="Times New Roman"/>
          <w:sz w:val="32"/>
        </w:rPr>
        <w:t>”</w:t>
      </w:r>
      <w:r>
        <w:rPr>
          <w:sz w:val="32"/>
        </w:rPr>
        <w:t>，依法依规实施联合惩戒。</w:t>
      </w:r>
      <w:r>
        <w:rPr>
          <w:rFonts w:hint="eastAsia" w:ascii="楷体" w:hAnsi="楷体" w:eastAsia="楷体"/>
          <w:sz w:val="32"/>
        </w:rPr>
        <w:t>（卫生健康委、市场监管总局、烟草局、教育部按职责分工负责）</w:t>
      </w:r>
    </w:p>
    <w:p>
      <w:pPr>
        <w:pStyle w:val="10"/>
        <w:numPr>
          <w:ilvl w:val="0"/>
          <w:numId w:val="11"/>
        </w:numPr>
        <w:tabs>
          <w:tab w:val="left" w:pos="1052"/>
        </w:tabs>
        <w:spacing w:before="5" w:after="0" w:line="350" w:lineRule="auto"/>
        <w:ind w:left="171" w:right="429" w:firstLine="638"/>
        <w:jc w:val="both"/>
        <w:rPr>
          <w:rFonts w:hint="eastAsia" w:ascii="楷体" w:eastAsia="楷体"/>
          <w:sz w:val="32"/>
        </w:rPr>
      </w:pPr>
      <w:r>
        <w:rPr>
          <w:spacing w:val="-9"/>
          <w:sz w:val="32"/>
        </w:rPr>
        <w:t>加强各级专业机构控烟工作，确定专人负责相关工作组织</w:t>
      </w:r>
      <w:r>
        <w:rPr>
          <w:spacing w:val="4"/>
          <w:w w:val="95"/>
          <w:sz w:val="32"/>
        </w:rPr>
        <w:t xml:space="preserve">实施，保障经费投入。建立监测评估系统，定期开展烟草流行 </w:t>
      </w:r>
      <w:r>
        <w:rPr>
          <w:spacing w:val="5"/>
          <w:w w:val="95"/>
          <w:sz w:val="32"/>
        </w:rPr>
        <w:t>调查，了解掌握烟草使用情况。</w:t>
      </w:r>
      <w:r>
        <w:rPr>
          <w:rFonts w:hint="eastAsia" w:ascii="楷体" w:eastAsia="楷体"/>
          <w:spacing w:val="5"/>
          <w:w w:val="95"/>
          <w:sz w:val="32"/>
        </w:rPr>
        <w:t>（</w:t>
      </w:r>
      <w:r>
        <w:rPr>
          <w:rFonts w:hint="eastAsia" w:ascii="楷体" w:eastAsia="楷体"/>
          <w:spacing w:val="3"/>
          <w:w w:val="95"/>
          <w:sz w:val="32"/>
        </w:rPr>
        <w:t xml:space="preserve">财政部、卫生健康委按职责 </w:t>
      </w:r>
      <w:r>
        <w:rPr>
          <w:rFonts w:hint="eastAsia" w:ascii="楷体" w:eastAsia="楷体"/>
          <w:sz w:val="32"/>
        </w:rPr>
        <w:t>分工负责）</w:t>
      </w:r>
    </w:p>
    <w:p>
      <w:pPr>
        <w:pStyle w:val="2"/>
      </w:pPr>
      <w:bookmarkStart w:id="33" w:name="（五）心理健康促进行动。"/>
      <w:bookmarkEnd w:id="33"/>
      <w:r>
        <w:t>（五）心理健康促进行动。</w:t>
      </w:r>
    </w:p>
    <w:p>
      <w:pPr>
        <w:pStyle w:val="3"/>
        <w:spacing w:before="190" w:line="350" w:lineRule="auto"/>
        <w:ind w:right="215"/>
      </w:pPr>
      <w:r>
        <w:t>心理健康是人在成长和发展过程中，认知合理、情绪稳定、行为适当、人际和谐、适应变化的一种完好状态，是健康的重要组成部分。当前，我国常见精神障碍和心理行为问题人数逐年增多，个人极端情绪引发的恶性案（事）件时有发生。我国</w:t>
      </w:r>
    </w:p>
    <w:p>
      <w:pPr>
        <w:spacing w:after="0" w:line="350" w:lineRule="auto"/>
        <w:sectPr>
          <w:pgSz w:w="11910" w:h="16840"/>
          <w:pgMar w:top="1540" w:right="1140" w:bottom="1380" w:left="1400" w:header="0" w:footer="1200" w:gutter="0"/>
        </w:sectPr>
      </w:pPr>
    </w:p>
    <w:p>
      <w:pPr>
        <w:pStyle w:val="3"/>
        <w:spacing w:line="350" w:lineRule="auto"/>
        <w:ind w:right="428" w:firstLine="0"/>
        <w:jc w:val="both"/>
      </w:pPr>
      <w:r>
        <w:rPr>
          <w:spacing w:val="-10"/>
        </w:rPr>
        <w:t xml:space="preserve">抑郁症患病率达到 </w:t>
      </w:r>
      <w:r>
        <w:rPr>
          <w:rFonts w:ascii="Times New Roman" w:eastAsia="Times New Roman"/>
        </w:rPr>
        <w:t>2.1%</w:t>
      </w:r>
      <w:r>
        <w:rPr>
          <w:spacing w:val="-9"/>
        </w:rPr>
        <w:t xml:space="preserve">，焦虑障碍患病率达 </w:t>
      </w:r>
      <w:r>
        <w:rPr>
          <w:rFonts w:ascii="Times New Roman" w:eastAsia="Times New Roman"/>
        </w:rPr>
        <w:t>4.98%</w:t>
      </w:r>
      <w:r>
        <w:rPr>
          <w:spacing w:val="-23"/>
        </w:rPr>
        <w:t xml:space="preserve">。截至 </w:t>
      </w:r>
      <w:r>
        <w:rPr>
          <w:rFonts w:ascii="Times New Roman" w:eastAsia="Times New Roman"/>
        </w:rPr>
        <w:t xml:space="preserve">2017 </w:t>
      </w:r>
      <w:r>
        <w:rPr>
          <w:spacing w:val="-1"/>
        </w:rPr>
        <w:t xml:space="preserve">年底，全国已登记在册的严重精神障碍患者 </w:t>
      </w:r>
      <w:r>
        <w:rPr>
          <w:rFonts w:ascii="Times New Roman" w:eastAsia="Times New Roman"/>
        </w:rPr>
        <w:t>581</w:t>
      </w:r>
      <w:r>
        <w:rPr>
          <w:rFonts w:ascii="Times New Roman" w:eastAsia="Times New Roman"/>
          <w:spacing w:val="-6"/>
        </w:rPr>
        <w:t xml:space="preserve"> </w:t>
      </w:r>
      <w:r>
        <w:rPr>
          <w:spacing w:val="2"/>
        </w:rPr>
        <w:t xml:space="preserve">万人。同时， </w:t>
      </w:r>
      <w:r>
        <w:rPr>
          <w:spacing w:val="4"/>
          <w:w w:val="95"/>
        </w:rPr>
        <w:t xml:space="preserve">公众对常见精神障碍和心理行为问题的认知率仍比较低，更缺 乏防治知识和主动就医意识，部分患者及家属仍然有病耻感。 加强心理健康促进，有助于促进社会稳定和人际关系和谐、提 </w:t>
      </w:r>
      <w:r>
        <w:t>升公众幸福感。</w:t>
      </w:r>
    </w:p>
    <w:p>
      <w:pPr>
        <w:pStyle w:val="3"/>
        <w:spacing w:before="8"/>
        <w:ind w:left="810" w:right="0" w:firstLine="0"/>
        <w:rPr>
          <w:rFonts w:hint="eastAsia" w:ascii="黑体" w:eastAsia="黑体"/>
        </w:rPr>
      </w:pPr>
      <w:r>
        <w:rPr>
          <w:rFonts w:hint="eastAsia" w:ascii="黑体" w:eastAsia="黑体"/>
          <w:w w:val="95"/>
        </w:rPr>
        <w:t>行动目标：</w:t>
      </w:r>
    </w:p>
    <w:p>
      <w:pPr>
        <w:pStyle w:val="3"/>
        <w:spacing w:before="190" w:line="350" w:lineRule="auto"/>
        <w:ind w:right="270"/>
      </w:pPr>
      <w:r>
        <w:rPr>
          <w:spacing w:val="-39"/>
        </w:rPr>
        <w:t xml:space="preserve">到 </w:t>
      </w:r>
      <w:r>
        <w:rPr>
          <w:rFonts w:ascii="Times New Roman" w:eastAsia="Times New Roman"/>
        </w:rPr>
        <w:t xml:space="preserve">2022 </w:t>
      </w:r>
      <w:r>
        <w:rPr>
          <w:spacing w:val="-25"/>
        </w:rPr>
        <w:t xml:space="preserve">年和 </w:t>
      </w:r>
      <w:r>
        <w:rPr>
          <w:rFonts w:ascii="Times New Roman" w:eastAsia="Times New Roman"/>
        </w:rPr>
        <w:t xml:space="preserve">2030 </w:t>
      </w:r>
      <w:r>
        <w:rPr>
          <w:spacing w:val="-2"/>
        </w:rPr>
        <w:t xml:space="preserve">年，居民心理健康素养水平提升到 </w:t>
      </w:r>
      <w:r>
        <w:rPr>
          <w:rFonts w:ascii="Times New Roman" w:eastAsia="Times New Roman"/>
        </w:rPr>
        <w:t xml:space="preserve">20% </w:t>
      </w:r>
      <w:r>
        <w:rPr>
          <w:spacing w:val="-44"/>
        </w:rPr>
        <w:t xml:space="preserve">和 </w:t>
      </w:r>
      <w:r>
        <w:rPr>
          <w:rFonts w:ascii="Times New Roman" w:eastAsia="Times New Roman"/>
          <w:spacing w:val="3"/>
        </w:rPr>
        <w:t>30%</w:t>
      </w:r>
      <w:r>
        <w:rPr>
          <w:spacing w:val="2"/>
        </w:rPr>
        <w:t>；失眠现患率、焦虑障碍患病率、抑郁症患病率上升趋</w:t>
      </w:r>
      <w:r>
        <w:rPr>
          <w:spacing w:val="-21"/>
        </w:rPr>
        <w:t xml:space="preserve">势减缓；每 </w:t>
      </w:r>
      <w:r>
        <w:rPr>
          <w:rFonts w:ascii="Times New Roman" w:eastAsia="Times New Roman"/>
        </w:rPr>
        <w:t xml:space="preserve">10 </w:t>
      </w:r>
      <w:r>
        <w:rPr>
          <w:spacing w:val="-5"/>
        </w:rPr>
        <w:t>万人口精神科执业</w:t>
      </w:r>
      <w:r>
        <w:t>（助理</w:t>
      </w:r>
      <w:r>
        <w:rPr>
          <w:spacing w:val="-39"/>
        </w:rPr>
        <w:t>）</w:t>
      </w:r>
      <w:r>
        <w:rPr>
          <w:spacing w:val="-17"/>
        </w:rPr>
        <w:t xml:space="preserve">医师达到 </w:t>
      </w:r>
      <w:r>
        <w:rPr>
          <w:rFonts w:ascii="Times New Roman" w:eastAsia="Times New Roman"/>
        </w:rPr>
        <w:t xml:space="preserve">3.3 </w:t>
      </w:r>
      <w:r>
        <w:rPr>
          <w:spacing w:val="-27"/>
        </w:rPr>
        <w:t xml:space="preserve">名和 </w:t>
      </w:r>
      <w:r>
        <w:rPr>
          <w:rFonts w:ascii="Times New Roman" w:eastAsia="Times New Roman"/>
        </w:rPr>
        <w:t xml:space="preserve">4.5 </w:t>
      </w:r>
      <w:r>
        <w:rPr>
          <w:spacing w:val="-5"/>
        </w:rPr>
        <w:t xml:space="preserve">名；抑郁症治疗率在现有基础上提高 </w:t>
      </w:r>
      <w:r>
        <w:rPr>
          <w:rFonts w:ascii="Times New Roman" w:eastAsia="Times New Roman"/>
        </w:rPr>
        <w:t>30%</w:t>
      </w:r>
      <w:r>
        <w:rPr>
          <w:spacing w:val="-38"/>
        </w:rPr>
        <w:t xml:space="preserve">和 </w:t>
      </w:r>
      <w:r>
        <w:rPr>
          <w:rFonts w:ascii="Times New Roman" w:eastAsia="Times New Roman"/>
        </w:rPr>
        <w:t>80%</w:t>
      </w:r>
      <w:r>
        <w:t>；登记在册的</w:t>
      </w:r>
      <w:r>
        <w:rPr>
          <w:spacing w:val="-8"/>
        </w:rPr>
        <w:t xml:space="preserve">精神分裂症治疗率达到 </w:t>
      </w:r>
      <w:r>
        <w:rPr>
          <w:rFonts w:ascii="Times New Roman" w:eastAsia="Times New Roman"/>
        </w:rPr>
        <w:t>80%</w:t>
      </w:r>
      <w:r>
        <w:rPr>
          <w:spacing w:val="-39"/>
        </w:rPr>
        <w:t xml:space="preserve">和 </w:t>
      </w:r>
      <w:r>
        <w:rPr>
          <w:rFonts w:ascii="Times New Roman" w:eastAsia="Times New Roman"/>
          <w:spacing w:val="2"/>
        </w:rPr>
        <w:t>85%</w:t>
      </w:r>
      <w:r>
        <w:t>；登记在册的严重精神障碍</w:t>
      </w:r>
      <w:r>
        <w:rPr>
          <w:spacing w:val="-8"/>
        </w:rPr>
        <w:t xml:space="preserve">患者规范管理率达到 </w:t>
      </w:r>
      <w:r>
        <w:rPr>
          <w:rFonts w:ascii="Times New Roman" w:eastAsia="Times New Roman"/>
        </w:rPr>
        <w:t>80%</w:t>
      </w:r>
      <w:r>
        <w:rPr>
          <w:spacing w:val="-40"/>
        </w:rPr>
        <w:t xml:space="preserve">和 </w:t>
      </w:r>
      <w:r>
        <w:rPr>
          <w:rFonts w:ascii="Times New Roman" w:eastAsia="Times New Roman"/>
          <w:spacing w:val="2"/>
        </w:rPr>
        <w:t>85%</w:t>
      </w:r>
      <w:r>
        <w:t>；建立精神卫生医疗机构、社</w:t>
      </w:r>
      <w:r>
        <w:rPr>
          <w:spacing w:val="4"/>
        </w:rPr>
        <w:t>区康复机构及社会组织、家庭相互衔接的精神障碍社区康复服</w:t>
      </w:r>
      <w:r>
        <w:rPr>
          <w:spacing w:val="-2"/>
        </w:rPr>
        <w:t>务体系，建立和完善心理健康教育、心理热线服务、心理评估、</w:t>
      </w:r>
      <w:r>
        <w:rPr>
          <w:spacing w:val="4"/>
        </w:rPr>
        <w:t>心理咨询、心理治疗、精神科治疗等衔接合作的心理危机干预和心理援助服务模式。</w:t>
      </w:r>
    </w:p>
    <w:p>
      <w:pPr>
        <w:pStyle w:val="3"/>
        <w:spacing w:before="14" w:line="350" w:lineRule="auto"/>
        <w:ind w:right="202"/>
      </w:pPr>
      <w:r>
        <w:t xml:space="preserve">提倡成人每日平均睡眠时间为 </w:t>
      </w:r>
      <w:r>
        <w:rPr>
          <w:rFonts w:ascii="Times New Roman" w:eastAsia="Times New Roman"/>
        </w:rPr>
        <w:t>7</w:t>
      </w:r>
      <w:r>
        <w:t>～</w:t>
      </w:r>
      <w:r>
        <w:rPr>
          <w:rFonts w:ascii="Times New Roman" w:eastAsia="Times New Roman"/>
        </w:rPr>
        <w:t xml:space="preserve">8 </w:t>
      </w:r>
      <w:r>
        <w:t>小时；鼓励个人正确认识抑郁和焦虑症状，掌握基本的情绪管理、压力管理等自我心</w:t>
      </w:r>
      <w:r>
        <w:rPr>
          <w:w w:val="95"/>
        </w:rPr>
        <w:t xml:space="preserve">理调适方法；各类临床医务人员主动掌握心理健康知识和技能， </w:t>
      </w:r>
      <w:r>
        <w:t>应用于临床诊疗活动中。</w:t>
      </w:r>
    </w:p>
    <w:p>
      <w:pPr>
        <w:pStyle w:val="2"/>
        <w:rPr>
          <w:rFonts w:hint="eastAsia" w:ascii="仿宋" w:hAnsi="仿宋" w:eastAsia="仿宋"/>
        </w:rPr>
      </w:pPr>
      <w:bookmarkStart w:id="34" w:name="——个人和家庭："/>
      <w:bookmarkEnd w:id="34"/>
      <w:r>
        <w:rPr>
          <w:rFonts w:ascii="Times New Roman" w:hAnsi="Times New Roman" w:eastAsia="Times New Roman"/>
        </w:rPr>
        <w:t>——</w:t>
      </w:r>
      <w:r>
        <w:rPr>
          <w:rFonts w:hint="eastAsia" w:ascii="仿宋" w:hAnsi="仿宋" w:eastAsia="仿宋"/>
        </w:rPr>
        <w:t>个人和家庭：</w:t>
      </w:r>
    </w:p>
    <w:p>
      <w:pPr>
        <w:spacing w:after="0"/>
        <w:rPr>
          <w:rFonts w:hint="eastAsia" w:ascii="仿宋" w:hAnsi="仿宋" w:eastAsia="仿宋"/>
        </w:rPr>
        <w:sectPr>
          <w:pgSz w:w="11910" w:h="16840"/>
          <w:pgMar w:top="1540" w:right="1140" w:bottom="1380" w:left="1400" w:header="0" w:footer="1200" w:gutter="0"/>
        </w:sectPr>
      </w:pPr>
    </w:p>
    <w:p>
      <w:pPr>
        <w:pStyle w:val="10"/>
        <w:numPr>
          <w:ilvl w:val="0"/>
          <w:numId w:val="12"/>
        </w:numPr>
        <w:tabs>
          <w:tab w:val="left" w:pos="1052"/>
        </w:tabs>
        <w:spacing w:before="43" w:after="0" w:line="350" w:lineRule="auto"/>
        <w:ind w:left="171" w:right="429" w:firstLine="638"/>
        <w:jc w:val="both"/>
        <w:rPr>
          <w:sz w:val="32"/>
        </w:rPr>
      </w:pPr>
      <w:r>
        <w:rPr>
          <w:spacing w:val="-10"/>
          <w:sz w:val="32"/>
        </w:rPr>
        <w:t>提高心理健康意识，追求心身共同健康。每个人一生中可</w:t>
      </w:r>
      <w:r>
        <w:rPr>
          <w:spacing w:val="4"/>
          <w:w w:val="95"/>
          <w:sz w:val="32"/>
        </w:rPr>
        <w:t xml:space="preserve">能会遇到多种心理健康问题，主动学习和了解心理健康知识， 科学认识心理健康与身体健康之间的相互影响，保持积极健康 的情绪，避免持续消极情绪对身体健康造成伤害。倡导养德养 生理念，保持中和之道，提高心理复原力。在身体疾病的治疗 中，要重视心理因素的作用。自我调适不能缓解时，可选择寻 求心理咨询与心理治疗，及时疏导情绪，预防心理行为问题和 </w:t>
      </w:r>
      <w:r>
        <w:rPr>
          <w:sz w:val="32"/>
        </w:rPr>
        <w:t>精神障碍发生。</w:t>
      </w:r>
    </w:p>
    <w:p>
      <w:pPr>
        <w:pStyle w:val="10"/>
        <w:numPr>
          <w:ilvl w:val="0"/>
          <w:numId w:val="12"/>
        </w:numPr>
        <w:tabs>
          <w:tab w:val="left" w:pos="1052"/>
        </w:tabs>
        <w:spacing w:before="11" w:after="0" w:line="350" w:lineRule="auto"/>
        <w:ind w:left="171" w:right="429" w:firstLine="638"/>
        <w:jc w:val="both"/>
        <w:rPr>
          <w:sz w:val="32"/>
        </w:rPr>
      </w:pPr>
      <w:r>
        <w:rPr>
          <w:spacing w:val="-9"/>
          <w:w w:val="95"/>
          <w:sz w:val="32"/>
        </w:rPr>
        <w:t xml:space="preserve">使用科学的方法缓解压力。保持乐观、开朗、豁达的生活 </w:t>
      </w:r>
      <w:r>
        <w:rPr>
          <w:spacing w:val="4"/>
          <w:w w:val="95"/>
          <w:sz w:val="32"/>
        </w:rPr>
        <w:t xml:space="preserve">态度，合理设定自己的目标。正确认识重大生活、工作变故等 事件对人的心理造成的影响，学习基本的减压知识，学会科学 有益的心理调适方法。学习并运用健康的减压方式，避免使用 吸烟、饮酒、沉迷网络或游戏等不健康的减压方式。学会调整 自己的状态，找出不良情绪背后的消极想法，根据客观现实进 行调整，减少非理性的认识。建立良好的人际关系，积极寻求 人际支持，适当倾诉与求助。保持健康的生活方式，积极参加 </w:t>
      </w:r>
      <w:r>
        <w:rPr>
          <w:sz w:val="32"/>
        </w:rPr>
        <w:t>社会活动，培养健康的兴趣爱好。</w:t>
      </w:r>
    </w:p>
    <w:p>
      <w:pPr>
        <w:pStyle w:val="10"/>
        <w:numPr>
          <w:ilvl w:val="0"/>
          <w:numId w:val="12"/>
        </w:numPr>
        <w:tabs>
          <w:tab w:val="left" w:pos="1052"/>
        </w:tabs>
        <w:spacing w:before="12" w:after="0" w:line="350" w:lineRule="auto"/>
        <w:ind w:left="171" w:right="314" w:firstLine="638"/>
        <w:jc w:val="left"/>
        <w:rPr>
          <w:sz w:val="32"/>
        </w:rPr>
      </w:pPr>
      <w:r>
        <w:rPr>
          <w:sz w:val="32"/>
        </w:rPr>
        <w:t>重视睡眠健康。每天保证充足的睡眠时间，工作、学习、</w:t>
      </w:r>
      <w:r>
        <w:rPr>
          <w:spacing w:val="4"/>
          <w:sz w:val="32"/>
        </w:rPr>
        <w:t>娱乐、休息都要按作息规律进行，注意起居有常。了解睡眠不足和睡眠问题带来的不良心理影响，出现睡眠不足及时设法弥补，出现睡眠问题及时就医。要在专业指导下用科学的方法改善睡眠，服用药物需遵医嘱。</w:t>
      </w:r>
    </w:p>
    <w:p>
      <w:pPr>
        <w:spacing w:after="0" w:line="350" w:lineRule="auto"/>
        <w:jc w:val="left"/>
        <w:rPr>
          <w:sz w:val="32"/>
        </w:rPr>
        <w:sectPr>
          <w:pgSz w:w="11910" w:h="16840"/>
          <w:pgMar w:top="1540" w:right="1140" w:bottom="1380" w:left="1400" w:header="0" w:footer="1200" w:gutter="0"/>
        </w:sectPr>
      </w:pPr>
    </w:p>
    <w:p>
      <w:pPr>
        <w:pStyle w:val="10"/>
        <w:numPr>
          <w:ilvl w:val="0"/>
          <w:numId w:val="12"/>
        </w:numPr>
        <w:tabs>
          <w:tab w:val="left" w:pos="1052"/>
        </w:tabs>
        <w:spacing w:before="43" w:after="0" w:line="350" w:lineRule="auto"/>
        <w:ind w:left="171" w:right="314" w:firstLine="638"/>
        <w:jc w:val="left"/>
        <w:rPr>
          <w:sz w:val="32"/>
        </w:rPr>
      </w:pPr>
      <w:r>
        <w:rPr>
          <w:sz w:val="32"/>
        </w:rPr>
        <w:t xml:space="preserve">培养科学运动的习惯。选择并培养适合自己的运动爱好， </w:t>
      </w:r>
      <w:r>
        <w:rPr>
          <w:spacing w:val="4"/>
          <w:sz w:val="32"/>
        </w:rPr>
        <w:t>积极发挥运动对情绪的调节作用，在出现轻度情绪困扰时，可结合运动促进情绪缓解。</w:t>
      </w:r>
    </w:p>
    <w:p>
      <w:pPr>
        <w:pStyle w:val="10"/>
        <w:numPr>
          <w:ilvl w:val="0"/>
          <w:numId w:val="12"/>
        </w:numPr>
        <w:tabs>
          <w:tab w:val="left" w:pos="1052"/>
        </w:tabs>
        <w:spacing w:before="4" w:after="0" w:line="350" w:lineRule="auto"/>
        <w:ind w:left="171" w:right="429" w:firstLine="638"/>
        <w:jc w:val="both"/>
        <w:rPr>
          <w:sz w:val="32"/>
        </w:rPr>
      </w:pPr>
      <w:r>
        <w:rPr>
          <w:spacing w:val="-10"/>
          <w:sz w:val="32"/>
        </w:rPr>
        <w:t>正确认识抑郁、焦虑等常见情绪问题。出现心情压抑、愉</w:t>
      </w:r>
      <w:r>
        <w:rPr>
          <w:spacing w:val="4"/>
          <w:w w:val="95"/>
          <w:sz w:val="32"/>
        </w:rPr>
        <w:t xml:space="preserve">悦感缺乏、兴趣丧失，伴有精力下降、食欲下降、睡眠障碍、 自我评价下降、对未来感到悲观失望等表现，甚至有自伤、自 </w:t>
      </w:r>
      <w:r>
        <w:rPr>
          <w:spacing w:val="-4"/>
          <w:sz w:val="32"/>
        </w:rPr>
        <w:t xml:space="preserve">杀的念头或行为，持续存在 </w:t>
      </w:r>
      <w:r>
        <w:rPr>
          <w:rFonts w:ascii="Times New Roman" w:eastAsia="Times New Roman"/>
          <w:sz w:val="32"/>
        </w:rPr>
        <w:t>2</w:t>
      </w:r>
      <w:r>
        <w:rPr>
          <w:rFonts w:ascii="Times New Roman" w:eastAsia="Times New Roman"/>
          <w:spacing w:val="-10"/>
          <w:sz w:val="32"/>
        </w:rPr>
        <w:t xml:space="preserve"> </w:t>
      </w:r>
      <w:r>
        <w:rPr>
          <w:spacing w:val="4"/>
          <w:sz w:val="32"/>
        </w:rPr>
        <w:t>周以上，可能患有抑郁障碍；突</w:t>
      </w:r>
      <w:r>
        <w:rPr>
          <w:spacing w:val="4"/>
          <w:w w:val="95"/>
          <w:sz w:val="32"/>
        </w:rPr>
        <w:t xml:space="preserve">然或经常莫名其妙地感到紧张、害怕、恐惧，常伴有明显的心 慌、出汗、头晕、口干、呼吸急促等躯体症状，严重时有濒死 感、失控感，如频繁发生，可能患有焦虑障碍。一过性的或短 期的抑郁、焦虑情绪，可通过自我调适或心理咨询予以缓解和 消除，不用过分担心。抑郁障碍、焦虑障碍可以通过药物、心 </w:t>
      </w:r>
      <w:r>
        <w:rPr>
          <w:sz w:val="32"/>
        </w:rPr>
        <w:t>理干预或两者相结合的方式治疗。</w:t>
      </w:r>
    </w:p>
    <w:p>
      <w:pPr>
        <w:pStyle w:val="10"/>
        <w:numPr>
          <w:ilvl w:val="0"/>
          <w:numId w:val="12"/>
        </w:numPr>
        <w:tabs>
          <w:tab w:val="left" w:pos="1052"/>
        </w:tabs>
        <w:spacing w:before="14" w:after="0" w:line="350" w:lineRule="auto"/>
        <w:ind w:left="171" w:right="270" w:firstLine="638"/>
        <w:jc w:val="left"/>
        <w:rPr>
          <w:sz w:val="32"/>
        </w:rPr>
      </w:pPr>
      <w:r>
        <w:rPr>
          <w:sz w:val="32"/>
        </w:rPr>
        <w:t>出现心理行为问题要及时求助。可以向医院的相关科室、</w:t>
      </w:r>
      <w:r>
        <w:rPr>
          <w:spacing w:val="4"/>
          <w:sz w:val="32"/>
        </w:rPr>
        <w:t>专业的心理咨询机构和社会工作服务机构等寻求专业帮助。要</w:t>
      </w:r>
      <w:r>
        <w:rPr>
          <w:sz w:val="32"/>
        </w:rPr>
        <w:t>认识到求助于专业人员既不等于自己有病，更不等于病情严重， 而是负责任、有能力的表现。</w:t>
      </w:r>
    </w:p>
    <w:p>
      <w:pPr>
        <w:pStyle w:val="10"/>
        <w:numPr>
          <w:ilvl w:val="0"/>
          <w:numId w:val="12"/>
        </w:numPr>
        <w:tabs>
          <w:tab w:val="left" w:pos="1052"/>
        </w:tabs>
        <w:spacing w:before="5" w:after="0" w:line="350" w:lineRule="auto"/>
        <w:ind w:left="171" w:right="429" w:firstLine="638"/>
        <w:jc w:val="both"/>
        <w:rPr>
          <w:sz w:val="32"/>
        </w:rPr>
      </w:pPr>
      <w:r>
        <w:rPr>
          <w:spacing w:val="-9"/>
          <w:sz w:val="32"/>
        </w:rPr>
        <w:t>精神疾病治疗要遵医嘱。诊断精神疾病，要去精神专科医</w:t>
      </w:r>
      <w:r>
        <w:rPr>
          <w:spacing w:val="4"/>
          <w:w w:val="95"/>
          <w:sz w:val="32"/>
        </w:rPr>
        <w:t>院或综合医院专科门诊。确诊后应及时接受正规治疗，听从医 生的建议选择住院治疗或门诊治疗，主动执行治疗方案，遵照 医嘱全程、不间断、按时按量服药，在病情得到有效控制后， 不急于减药、停药。门诊按时复诊，及时、如实地向医生反馈</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pPr>
      <w:r>
        <w:rPr>
          <w:spacing w:val="4"/>
          <w:w w:val="95"/>
        </w:rPr>
        <w:t xml:space="preserve">治疗情况，听从医生指导。精神类药物必须在医生的指导下使 </w:t>
      </w:r>
      <w:r>
        <w:t>用，不得自行任意服用。</w:t>
      </w:r>
    </w:p>
    <w:p>
      <w:pPr>
        <w:pStyle w:val="10"/>
        <w:numPr>
          <w:ilvl w:val="0"/>
          <w:numId w:val="12"/>
        </w:numPr>
        <w:tabs>
          <w:tab w:val="left" w:pos="1052"/>
        </w:tabs>
        <w:spacing w:before="3" w:after="0" w:line="350" w:lineRule="auto"/>
        <w:ind w:left="171" w:right="429" w:firstLine="638"/>
        <w:jc w:val="both"/>
        <w:rPr>
          <w:sz w:val="32"/>
        </w:rPr>
      </w:pPr>
      <w:r>
        <w:rPr>
          <w:spacing w:val="-8"/>
          <w:w w:val="95"/>
          <w:sz w:val="32"/>
        </w:rPr>
        <w:t xml:space="preserve">关怀和理解精神疾病患者，减少歧视。学习了解精神疾病 </w:t>
      </w:r>
      <w:r>
        <w:rPr>
          <w:spacing w:val="4"/>
          <w:w w:val="95"/>
          <w:sz w:val="32"/>
        </w:rPr>
        <w:t xml:space="preserve">的基本知识，知道精神疾病是可以预防和治疗的，尊重精神病 人，不歧视患者。要认识到精神疾病在得到有效治疗后，可以 缓解和康复，可以承担家庭功能与工作职能。要为精神疾病患 者及其家属、照护者提供支持性的环境，提高患者心理行为技 </w:t>
      </w:r>
      <w:r>
        <w:rPr>
          <w:sz w:val="32"/>
        </w:rPr>
        <w:t>能，使其获得自我价值感。</w:t>
      </w:r>
    </w:p>
    <w:p>
      <w:pPr>
        <w:pStyle w:val="10"/>
        <w:numPr>
          <w:ilvl w:val="0"/>
          <w:numId w:val="12"/>
        </w:numPr>
        <w:tabs>
          <w:tab w:val="left" w:pos="1052"/>
        </w:tabs>
        <w:spacing w:before="8" w:after="0" w:line="350" w:lineRule="auto"/>
        <w:ind w:left="171" w:right="314" w:firstLine="638"/>
        <w:jc w:val="left"/>
        <w:rPr>
          <w:sz w:val="32"/>
        </w:rPr>
      </w:pPr>
      <w:r>
        <w:rPr>
          <w:sz w:val="32"/>
        </w:rPr>
        <w:t xml:space="preserve">关注家庭成员心理状况。家庭成员之间要平等沟通交流， </w:t>
      </w:r>
      <w:r>
        <w:rPr>
          <w:spacing w:val="4"/>
          <w:sz w:val="32"/>
        </w:rPr>
        <w:t>尊重家庭成员的不同心理需求。当与家庭成员发生矛盾时，不采用过激的言语或伤害行为，不冷漠回避，而是要积极沟通加以解决。及时疏导不良情绪，营造相互理解、相互信任、相互支持、相互关爱的家庭氛围和融洽的家庭关系。</w:t>
      </w:r>
    </w:p>
    <w:p>
      <w:pPr>
        <w:pStyle w:val="2"/>
        <w:spacing w:before="7"/>
        <w:rPr>
          <w:rFonts w:hint="eastAsia" w:ascii="仿宋" w:hAnsi="仿宋" w:eastAsia="仿宋"/>
        </w:rPr>
      </w:pPr>
      <w:bookmarkStart w:id="35" w:name="——社会："/>
      <w:bookmarkEnd w:id="35"/>
      <w:r>
        <w:rPr>
          <w:rFonts w:ascii="Times New Roman" w:hAnsi="Times New Roman" w:eastAsia="Times New Roman"/>
        </w:rPr>
        <w:t>——</w:t>
      </w:r>
      <w:r>
        <w:rPr>
          <w:rFonts w:hint="eastAsia" w:ascii="仿宋" w:hAnsi="仿宋" w:eastAsia="仿宋"/>
        </w:rPr>
        <w:t>社会：</w:t>
      </w:r>
    </w:p>
    <w:p>
      <w:pPr>
        <w:pStyle w:val="10"/>
        <w:numPr>
          <w:ilvl w:val="0"/>
          <w:numId w:val="13"/>
        </w:numPr>
        <w:tabs>
          <w:tab w:val="left" w:pos="1060"/>
        </w:tabs>
        <w:spacing w:before="190" w:after="0" w:line="350" w:lineRule="auto"/>
        <w:ind w:left="171" w:right="429" w:firstLine="638"/>
        <w:jc w:val="both"/>
        <w:rPr>
          <w:sz w:val="32"/>
        </w:rPr>
      </w:pPr>
      <w:r>
        <w:rPr>
          <w:spacing w:val="6"/>
          <w:w w:val="95"/>
          <w:sz w:val="32"/>
        </w:rPr>
        <w:t xml:space="preserve">各级各类医疗机构和专业心理健康服务机构对发现存在 </w:t>
      </w:r>
      <w:r>
        <w:rPr>
          <w:spacing w:val="4"/>
          <w:w w:val="95"/>
          <w:sz w:val="32"/>
        </w:rPr>
        <w:t xml:space="preserve">心理行为问题的个体，提供规范的诊疗服务，减轻患者心理痛 苦，促进患者康复。医务人员应对身体疾病，特别是癌症、心 脑血管疾病、糖尿病、消化系统疾病等患者及其家属适当辅以 心理调整。鼓励医疗机构开展睡眠相关诊疗服务，提供科学睡 眠指导，减少成年人睡眠问题的发生。专业人员可指导使用运 动方案辅助治疗抑郁、焦虑等常见心理行为问题。鼓励相关社 </w:t>
      </w:r>
      <w:r>
        <w:rPr>
          <w:spacing w:val="2"/>
          <w:w w:val="95"/>
          <w:sz w:val="32"/>
        </w:rPr>
        <w:t xml:space="preserve">会组织、高等院校、科研院所、医疗机构对心理健康从业人员 </w:t>
      </w:r>
      <w:r>
        <w:rPr>
          <w:sz w:val="32"/>
        </w:rPr>
        <w:t>开展服务技能和伦理道德的培训，提升服务能力。</w:t>
      </w:r>
    </w:p>
    <w:p>
      <w:pPr>
        <w:spacing w:after="0" w:line="350" w:lineRule="auto"/>
        <w:jc w:val="both"/>
        <w:rPr>
          <w:sz w:val="32"/>
        </w:rPr>
        <w:sectPr>
          <w:pgSz w:w="11910" w:h="16840"/>
          <w:pgMar w:top="1540" w:right="1140" w:bottom="1380" w:left="1400" w:header="0" w:footer="1200" w:gutter="0"/>
        </w:sectPr>
      </w:pPr>
    </w:p>
    <w:p>
      <w:pPr>
        <w:pStyle w:val="10"/>
        <w:numPr>
          <w:ilvl w:val="0"/>
          <w:numId w:val="13"/>
        </w:numPr>
        <w:tabs>
          <w:tab w:val="left" w:pos="1052"/>
        </w:tabs>
        <w:spacing w:before="43" w:after="0" w:line="350" w:lineRule="auto"/>
        <w:ind w:left="171" w:right="429" w:firstLine="638"/>
        <w:jc w:val="both"/>
        <w:rPr>
          <w:sz w:val="32"/>
        </w:rPr>
      </w:pPr>
      <w:r>
        <w:rPr>
          <w:spacing w:val="-9"/>
          <w:sz w:val="32"/>
        </w:rPr>
        <w:t>发挥精神卫生医疗机构作用，对各类临床科室医务人员开</w:t>
      </w:r>
      <w:r>
        <w:rPr>
          <w:spacing w:val="4"/>
          <w:w w:val="95"/>
          <w:sz w:val="32"/>
        </w:rPr>
        <w:t xml:space="preserve">展心理健康知识和技能培训，普及心理咨询和治疗技术在临床 诊疗中的应用，提高抑郁、焦虑、认知障碍、孤独症等心理行 为问题和常见精神障碍的筛查、识别、处置能力。推广中医心 </w:t>
      </w:r>
      <w:r>
        <w:rPr>
          <w:sz w:val="32"/>
        </w:rPr>
        <w:t>理调摄特色技术方法在临床诊疗中的应用。</w:t>
      </w:r>
    </w:p>
    <w:p>
      <w:pPr>
        <w:pStyle w:val="10"/>
        <w:numPr>
          <w:ilvl w:val="0"/>
          <w:numId w:val="13"/>
        </w:numPr>
        <w:tabs>
          <w:tab w:val="left" w:pos="1052"/>
        </w:tabs>
        <w:spacing w:before="7" w:after="0" w:line="350" w:lineRule="auto"/>
        <w:ind w:left="171" w:right="429" w:firstLine="638"/>
        <w:jc w:val="both"/>
        <w:rPr>
          <w:sz w:val="32"/>
        </w:rPr>
      </w:pPr>
      <w:r>
        <w:rPr>
          <w:spacing w:val="-11"/>
          <w:sz w:val="32"/>
        </w:rPr>
        <w:t>各机关、企事业单位、高校和其他用人单位把心理健康教</w:t>
      </w:r>
      <w:r>
        <w:rPr>
          <w:spacing w:val="5"/>
          <w:w w:val="95"/>
          <w:sz w:val="32"/>
        </w:rPr>
        <w:t>育融入员工（</w:t>
      </w:r>
      <w:r>
        <w:rPr>
          <w:spacing w:val="6"/>
          <w:w w:val="95"/>
          <w:sz w:val="32"/>
        </w:rPr>
        <w:t>学生</w:t>
      </w:r>
      <w:r>
        <w:rPr>
          <w:spacing w:val="5"/>
          <w:w w:val="95"/>
          <w:sz w:val="32"/>
        </w:rPr>
        <w:t>）</w:t>
      </w:r>
      <w:r>
        <w:rPr>
          <w:spacing w:val="3"/>
          <w:w w:val="95"/>
          <w:sz w:val="32"/>
        </w:rPr>
        <w:t xml:space="preserve">思想政治工作，鼓励依托本单位党团、工 </w:t>
      </w:r>
      <w:r>
        <w:rPr>
          <w:spacing w:val="4"/>
          <w:w w:val="95"/>
          <w:sz w:val="32"/>
        </w:rPr>
        <w:t xml:space="preserve">会、人力资源部门、卫生室等设立心理健康辅导室并建立心理 </w:t>
      </w:r>
      <w:r>
        <w:rPr>
          <w:spacing w:val="5"/>
          <w:w w:val="95"/>
          <w:sz w:val="32"/>
        </w:rPr>
        <w:t>健康服务团队，或通过购买服务形式，为员工</w:t>
      </w:r>
      <w:r>
        <w:rPr>
          <w:spacing w:val="7"/>
          <w:w w:val="95"/>
          <w:sz w:val="32"/>
        </w:rPr>
        <w:t>（</w:t>
      </w:r>
      <w:r>
        <w:rPr>
          <w:spacing w:val="5"/>
          <w:w w:val="95"/>
          <w:sz w:val="32"/>
        </w:rPr>
        <w:t>学生</w:t>
      </w:r>
      <w:r>
        <w:rPr>
          <w:spacing w:val="7"/>
          <w:w w:val="95"/>
          <w:sz w:val="32"/>
        </w:rPr>
        <w:t>）</w:t>
      </w:r>
      <w:r>
        <w:rPr>
          <w:spacing w:val="-2"/>
          <w:w w:val="95"/>
          <w:sz w:val="32"/>
        </w:rPr>
        <w:t xml:space="preserve">提供健 </w:t>
      </w:r>
      <w:r>
        <w:rPr>
          <w:spacing w:val="4"/>
          <w:w w:val="95"/>
          <w:sz w:val="32"/>
        </w:rPr>
        <w:t xml:space="preserve">康宣传、心理评估、教育培训、咨询辅导等服务，传授情绪管 理、压力管理等自我心理调适方法和抑郁、焦虑等常见心理行 </w:t>
      </w:r>
      <w:r>
        <w:rPr>
          <w:spacing w:val="5"/>
          <w:w w:val="95"/>
          <w:sz w:val="32"/>
        </w:rPr>
        <w:t>为问题的识别方法，为员工（</w:t>
      </w:r>
      <w:r>
        <w:rPr>
          <w:spacing w:val="6"/>
          <w:w w:val="95"/>
          <w:sz w:val="32"/>
        </w:rPr>
        <w:t>学生</w:t>
      </w:r>
      <w:r>
        <w:rPr>
          <w:spacing w:val="5"/>
          <w:w w:val="95"/>
          <w:sz w:val="32"/>
        </w:rPr>
        <w:t>）</w:t>
      </w:r>
      <w:r>
        <w:rPr>
          <w:spacing w:val="3"/>
          <w:w w:val="95"/>
          <w:sz w:val="32"/>
        </w:rPr>
        <w:t xml:space="preserve">主动寻求心理健康服务创 </w:t>
      </w:r>
      <w:r>
        <w:rPr>
          <w:spacing w:val="4"/>
          <w:w w:val="95"/>
          <w:sz w:val="32"/>
        </w:rPr>
        <w:t xml:space="preserve">造条件。对处于特定时期、特定岗位，或经历特殊突发事件的 </w:t>
      </w:r>
      <w:r>
        <w:rPr>
          <w:sz w:val="32"/>
        </w:rPr>
        <w:t>员工（学生），及时进行心理疏导和援助。</w:t>
      </w:r>
    </w:p>
    <w:p>
      <w:pPr>
        <w:pStyle w:val="10"/>
        <w:numPr>
          <w:ilvl w:val="0"/>
          <w:numId w:val="13"/>
        </w:numPr>
        <w:tabs>
          <w:tab w:val="left" w:pos="1052"/>
        </w:tabs>
        <w:spacing w:before="12" w:after="0" w:line="350" w:lineRule="auto"/>
        <w:ind w:left="171" w:right="270" w:firstLine="638"/>
        <w:jc w:val="left"/>
        <w:rPr>
          <w:sz w:val="32"/>
        </w:rPr>
      </w:pPr>
      <w:r>
        <w:rPr>
          <w:spacing w:val="-19"/>
          <w:w w:val="95"/>
          <w:sz w:val="32"/>
        </w:rPr>
        <w:t xml:space="preserve">鼓励老年大学、老年活动中心、基层老年协会、妇女之家、 </w:t>
      </w:r>
      <w:r>
        <w:rPr>
          <w:spacing w:val="4"/>
          <w:sz w:val="32"/>
        </w:rPr>
        <w:t>残疾人康复机构及有资质的社会组织等宣传心理健康知识。培训专兼职社会工作者和心理工作者，引入社会力量，为空巢、丧偶、失能、失智老年人，留守妇女儿童，残疾人和计划生育特殊家庭成员提供心理辅导、情绪疏解、悲伤抚慰、家庭关系调适等心理健康服务。</w:t>
      </w:r>
    </w:p>
    <w:p>
      <w:pPr>
        <w:pStyle w:val="2"/>
        <w:spacing w:before="9"/>
        <w:rPr>
          <w:rFonts w:hint="eastAsia" w:ascii="仿宋" w:hAnsi="仿宋" w:eastAsia="仿宋"/>
        </w:rPr>
      </w:pPr>
      <w:bookmarkStart w:id="36" w:name="——政府："/>
      <w:bookmarkEnd w:id="36"/>
      <w:r>
        <w:rPr>
          <w:rFonts w:ascii="Times New Roman" w:hAnsi="Times New Roman" w:eastAsia="Times New Roman"/>
        </w:rPr>
        <w:t>——</w:t>
      </w:r>
      <w:r>
        <w:rPr>
          <w:rFonts w:hint="eastAsia" w:ascii="仿宋" w:hAnsi="仿宋" w:eastAsia="仿宋"/>
        </w:rPr>
        <w:t>政府：</w:t>
      </w:r>
    </w:p>
    <w:p>
      <w:pPr>
        <w:pStyle w:val="10"/>
        <w:numPr>
          <w:ilvl w:val="0"/>
          <w:numId w:val="14"/>
        </w:numPr>
        <w:tabs>
          <w:tab w:val="left" w:pos="1052"/>
        </w:tabs>
        <w:spacing w:before="190" w:after="0" w:line="350" w:lineRule="auto"/>
        <w:ind w:left="171" w:right="429" w:firstLine="638"/>
        <w:jc w:val="left"/>
        <w:rPr>
          <w:sz w:val="32"/>
        </w:rPr>
      </w:pPr>
      <w:r>
        <w:rPr>
          <w:spacing w:val="-11"/>
          <w:sz w:val="32"/>
        </w:rPr>
        <w:t>充分利用广播、电视、书刊、动漫等形式，广泛运用门户</w:t>
      </w:r>
      <w:r>
        <w:rPr>
          <w:spacing w:val="4"/>
          <w:w w:val="95"/>
          <w:sz w:val="32"/>
        </w:rPr>
        <w:t>网站、微信、微博、移动客户端等平台，组织创作、播出心理</w:t>
      </w:r>
    </w:p>
    <w:p>
      <w:pPr>
        <w:spacing w:after="0" w:line="350" w:lineRule="auto"/>
        <w:jc w:val="left"/>
        <w:rPr>
          <w:sz w:val="32"/>
        </w:rPr>
        <w:sectPr>
          <w:pgSz w:w="11910" w:h="16840"/>
          <w:pgMar w:top="1540" w:right="1140" w:bottom="1380" w:left="1400" w:header="0" w:footer="1200" w:gutter="0"/>
        </w:sectPr>
      </w:pPr>
    </w:p>
    <w:p>
      <w:pPr>
        <w:pStyle w:val="3"/>
        <w:spacing w:line="350" w:lineRule="auto"/>
        <w:ind w:firstLine="0"/>
        <w:jc w:val="both"/>
        <w:rPr>
          <w:rFonts w:hint="eastAsia" w:ascii="楷体" w:eastAsia="楷体"/>
        </w:rPr>
      </w:pPr>
      <w:r>
        <w:rPr>
          <w:spacing w:val="4"/>
          <w:w w:val="95"/>
        </w:rPr>
        <w:t>健康宣传教育精品和公益广告，传播自尊自信、乐观向上的现 代文明理念和心理健康知识。</w:t>
      </w:r>
      <w:r>
        <w:rPr>
          <w:rFonts w:hint="eastAsia" w:ascii="楷体" w:eastAsia="楷体"/>
          <w:spacing w:val="5"/>
          <w:w w:val="95"/>
        </w:rPr>
        <w:t>（</w:t>
      </w:r>
      <w:r>
        <w:rPr>
          <w:rFonts w:hint="eastAsia" w:ascii="楷体" w:eastAsia="楷体"/>
          <w:spacing w:val="3"/>
          <w:w w:val="95"/>
        </w:rPr>
        <w:t xml:space="preserve">中央宣传部、中央网信办、卫 </w:t>
      </w:r>
      <w:r>
        <w:rPr>
          <w:rFonts w:hint="eastAsia" w:ascii="楷体" w:eastAsia="楷体"/>
        </w:rPr>
        <w:t>生健康委、广电总局按职责分工负责）</w:t>
      </w:r>
    </w:p>
    <w:p>
      <w:pPr>
        <w:pStyle w:val="10"/>
        <w:numPr>
          <w:ilvl w:val="0"/>
          <w:numId w:val="14"/>
        </w:numPr>
        <w:tabs>
          <w:tab w:val="left" w:pos="1060"/>
        </w:tabs>
        <w:spacing w:before="4" w:after="0" w:line="350" w:lineRule="auto"/>
        <w:ind w:left="171" w:right="429" w:firstLine="638"/>
        <w:jc w:val="both"/>
        <w:rPr>
          <w:rFonts w:hint="eastAsia" w:ascii="楷体" w:eastAsia="楷体"/>
          <w:sz w:val="32"/>
        </w:rPr>
      </w:pPr>
      <w:r>
        <w:rPr>
          <w:spacing w:val="6"/>
          <w:w w:val="95"/>
          <w:sz w:val="32"/>
        </w:rPr>
        <w:t xml:space="preserve">依托城乡社区综治中心等综合服务管理机构及设施建立 </w:t>
      </w:r>
      <w:r>
        <w:rPr>
          <w:spacing w:val="5"/>
          <w:w w:val="95"/>
          <w:sz w:val="32"/>
        </w:rPr>
        <w:t>心理咨询</w:t>
      </w:r>
      <w:r>
        <w:rPr>
          <w:spacing w:val="7"/>
          <w:w w:val="95"/>
          <w:sz w:val="32"/>
        </w:rPr>
        <w:t>（</w:t>
      </w:r>
      <w:r>
        <w:rPr>
          <w:spacing w:val="5"/>
          <w:w w:val="95"/>
          <w:sz w:val="32"/>
        </w:rPr>
        <w:t>辅导</w:t>
      </w:r>
      <w:r>
        <w:rPr>
          <w:spacing w:val="7"/>
          <w:w w:val="95"/>
          <w:sz w:val="32"/>
        </w:rPr>
        <w:t>）</w:t>
      </w:r>
      <w:r>
        <w:rPr>
          <w:spacing w:val="5"/>
          <w:w w:val="95"/>
          <w:sz w:val="32"/>
        </w:rPr>
        <w:t>室或社会工作室（站</w:t>
      </w:r>
      <w:r>
        <w:rPr>
          <w:spacing w:val="6"/>
          <w:w w:val="95"/>
          <w:sz w:val="32"/>
        </w:rPr>
        <w:t>）</w:t>
      </w:r>
      <w:r>
        <w:rPr>
          <w:spacing w:val="2"/>
          <w:w w:val="95"/>
          <w:sz w:val="32"/>
        </w:rPr>
        <w:t xml:space="preserve">，配备专兼职心理健 </w:t>
      </w:r>
      <w:r>
        <w:rPr>
          <w:spacing w:val="4"/>
          <w:w w:val="95"/>
          <w:sz w:val="32"/>
        </w:rPr>
        <w:t>康辅导人员或社会工作者，搭建基层心理健康服务平台。整合 社会资源，设立市县级未成年人心理健康辅导中心，完善未成 年人心理健康辅导网络。培育社会化的心理健康服务机构，鼓 励心理咨询专业人员创办社会心理服务机构。通过向社会心理 服务机构购买服务等方式，逐步扩大服务覆盖面。</w:t>
      </w:r>
      <w:r>
        <w:rPr>
          <w:rFonts w:hint="eastAsia" w:ascii="楷体" w:eastAsia="楷体"/>
          <w:spacing w:val="5"/>
          <w:w w:val="95"/>
          <w:sz w:val="32"/>
        </w:rPr>
        <w:t>（</w:t>
      </w:r>
      <w:r>
        <w:rPr>
          <w:rFonts w:hint="eastAsia" w:ascii="楷体" w:eastAsia="楷体"/>
          <w:spacing w:val="1"/>
          <w:w w:val="95"/>
          <w:sz w:val="32"/>
        </w:rPr>
        <w:t xml:space="preserve">中央政法 </w:t>
      </w:r>
      <w:r>
        <w:rPr>
          <w:rFonts w:hint="eastAsia" w:ascii="楷体" w:eastAsia="楷体"/>
          <w:spacing w:val="4"/>
          <w:w w:val="95"/>
          <w:sz w:val="32"/>
        </w:rPr>
        <w:t xml:space="preserve">委、中央文明办、教育部、民政部、卫生健康委按职责分工负 </w:t>
      </w:r>
      <w:r>
        <w:rPr>
          <w:rFonts w:hint="eastAsia" w:ascii="楷体" w:eastAsia="楷体"/>
          <w:sz w:val="32"/>
        </w:rPr>
        <w:t>责）</w:t>
      </w:r>
    </w:p>
    <w:p>
      <w:pPr>
        <w:pStyle w:val="10"/>
        <w:numPr>
          <w:ilvl w:val="0"/>
          <w:numId w:val="14"/>
        </w:numPr>
        <w:tabs>
          <w:tab w:val="left" w:pos="1052"/>
        </w:tabs>
        <w:spacing w:before="12" w:after="0" w:line="350" w:lineRule="auto"/>
        <w:ind w:left="171" w:right="429" w:firstLine="638"/>
        <w:jc w:val="both"/>
        <w:rPr>
          <w:rFonts w:hint="eastAsia" w:ascii="楷体" w:eastAsia="楷体"/>
          <w:sz w:val="32"/>
        </w:rPr>
      </w:pPr>
      <w:r>
        <w:rPr>
          <w:spacing w:val="-7"/>
          <w:sz w:val="32"/>
        </w:rPr>
        <w:t>加大应用型心理健康工作人员培养力度，推进高等院校开</w:t>
      </w:r>
      <w:r>
        <w:rPr>
          <w:spacing w:val="4"/>
          <w:w w:val="95"/>
          <w:sz w:val="32"/>
        </w:rPr>
        <w:t xml:space="preserve">设相关专业。进一步加强心理健康工作人员培养和使用的制度 建设，积极设立心理健康服务岗位。支持精神卫生医疗机构能 力建设，完善人事薪酬分配制度，体现心理治疗服务的劳务价 值。逐步将心理健康工作人员纳入专业技术岗位设置与管理体 </w:t>
      </w:r>
      <w:r>
        <w:rPr>
          <w:spacing w:val="5"/>
          <w:w w:val="95"/>
          <w:sz w:val="32"/>
        </w:rPr>
        <w:t>系，畅通职业发展渠道。</w:t>
      </w:r>
      <w:r>
        <w:rPr>
          <w:rFonts w:hint="eastAsia" w:ascii="楷体" w:eastAsia="楷体"/>
          <w:spacing w:val="5"/>
          <w:w w:val="95"/>
          <w:sz w:val="32"/>
        </w:rPr>
        <w:t>（</w:t>
      </w:r>
      <w:r>
        <w:rPr>
          <w:rFonts w:hint="eastAsia" w:ascii="楷体" w:eastAsia="楷体"/>
          <w:spacing w:val="3"/>
          <w:w w:val="95"/>
          <w:sz w:val="32"/>
        </w:rPr>
        <w:t xml:space="preserve">教育部、财政部、人力资源社会保 </w:t>
      </w:r>
      <w:r>
        <w:rPr>
          <w:rFonts w:hint="eastAsia" w:ascii="楷体" w:eastAsia="楷体"/>
          <w:sz w:val="32"/>
        </w:rPr>
        <w:t>障部、卫生健康委、医保局按职责分工负责）</w:t>
      </w:r>
    </w:p>
    <w:p>
      <w:pPr>
        <w:pStyle w:val="10"/>
        <w:numPr>
          <w:ilvl w:val="0"/>
          <w:numId w:val="14"/>
        </w:numPr>
        <w:tabs>
          <w:tab w:val="left" w:pos="1052"/>
        </w:tabs>
        <w:spacing w:before="10" w:after="0" w:line="350" w:lineRule="auto"/>
        <w:ind w:left="171" w:right="270" w:firstLine="638"/>
        <w:jc w:val="left"/>
        <w:rPr>
          <w:sz w:val="32"/>
        </w:rPr>
      </w:pPr>
      <w:r>
        <w:rPr>
          <w:spacing w:val="-10"/>
          <w:sz w:val="32"/>
        </w:rPr>
        <w:t>各级政法、卫生健康部门会同公安、民政、司法行政、残</w:t>
      </w:r>
      <w:r>
        <w:rPr>
          <w:spacing w:val="4"/>
          <w:sz w:val="32"/>
        </w:rPr>
        <w:t>联等单位建立精神卫生综合管理机制，多渠道开展严重精神障</w:t>
      </w:r>
      <w:r>
        <w:rPr>
          <w:spacing w:val="-3"/>
          <w:w w:val="95"/>
          <w:sz w:val="32"/>
        </w:rPr>
        <w:t xml:space="preserve">碍患者日常发现、登记、随访、危险性评估、服药指导等服务， </w:t>
      </w:r>
      <w:r>
        <w:rPr>
          <w:spacing w:val="4"/>
          <w:sz w:val="32"/>
        </w:rPr>
        <w:t>动员社区组织、患者家属参与居家患者管理服务。建立精神卫</w:t>
      </w:r>
    </w:p>
    <w:p>
      <w:pPr>
        <w:spacing w:after="0" w:line="350" w:lineRule="auto"/>
        <w:jc w:val="left"/>
        <w:rPr>
          <w:sz w:val="32"/>
        </w:rPr>
        <w:sectPr>
          <w:pgSz w:w="11910" w:h="16840"/>
          <w:pgMar w:top="1540" w:right="1140" w:bottom="1380" w:left="1400" w:header="0" w:footer="1200" w:gutter="0"/>
        </w:sectPr>
      </w:pPr>
    </w:p>
    <w:p>
      <w:pPr>
        <w:pStyle w:val="3"/>
        <w:spacing w:line="350" w:lineRule="auto"/>
        <w:ind w:right="427" w:firstLine="0"/>
        <w:jc w:val="both"/>
        <w:rPr>
          <w:rFonts w:hint="eastAsia" w:ascii="楷体" w:eastAsia="楷体"/>
        </w:rPr>
      </w:pPr>
      <w:r>
        <w:rPr>
          <w:spacing w:val="4"/>
          <w:w w:val="95"/>
        </w:rPr>
        <w:t xml:space="preserve">生医疗机构、社区康复机构及社会组织、家庭相互衔接的精神 障碍社区康复服务体系，加强精神卫生医疗机构对社区康复机 </w:t>
      </w:r>
      <w:r>
        <w:rPr>
          <w:spacing w:val="-9"/>
        </w:rPr>
        <w:t xml:space="preserve">构的技术指导。到 </w:t>
      </w:r>
      <w:r>
        <w:rPr>
          <w:rFonts w:ascii="Times New Roman" w:eastAsia="Times New Roman"/>
        </w:rPr>
        <w:t>2030</w:t>
      </w:r>
      <w:r>
        <w:rPr>
          <w:rFonts w:ascii="Times New Roman" w:eastAsia="Times New Roman"/>
          <w:spacing w:val="1"/>
        </w:rPr>
        <w:t xml:space="preserve"> </w:t>
      </w:r>
      <w:r>
        <w:t>年底，</w:t>
      </w:r>
      <w:r>
        <w:rPr>
          <w:rFonts w:ascii="Times New Roman" w:eastAsia="Times New Roman"/>
        </w:rPr>
        <w:t>80%</w:t>
      </w:r>
      <w:r>
        <w:t>以上的县（市、区）开展社</w:t>
      </w:r>
      <w:r>
        <w:rPr>
          <w:spacing w:val="7"/>
          <w:w w:val="95"/>
        </w:rPr>
        <w:t>区康复服务，在开展精神障碍社区康复的县（市、区</w:t>
      </w:r>
      <w:r>
        <w:rPr>
          <w:spacing w:val="3"/>
          <w:w w:val="95"/>
        </w:rPr>
        <w:t>），</w:t>
      </w:r>
      <w:r>
        <w:rPr>
          <w:rFonts w:ascii="Times New Roman" w:eastAsia="Times New Roman"/>
          <w:spacing w:val="3"/>
          <w:w w:val="95"/>
        </w:rPr>
        <w:t xml:space="preserve">60%  </w:t>
      </w:r>
      <w:r>
        <w:rPr>
          <w:spacing w:val="4"/>
          <w:w w:val="95"/>
        </w:rPr>
        <w:t>以上的居家患者接受社区康复服务。鼓励和引导通过举办精神 障碍社区康复机构或通过政府购买服务等方式委托社会组织提 供精神卫生社区康复服务。</w:t>
      </w:r>
      <w:r>
        <w:rPr>
          <w:rFonts w:hint="eastAsia" w:ascii="楷体" w:eastAsia="楷体"/>
          <w:spacing w:val="5"/>
          <w:w w:val="95"/>
        </w:rPr>
        <w:t>（</w:t>
      </w:r>
      <w:r>
        <w:rPr>
          <w:rFonts w:hint="eastAsia" w:ascii="楷体" w:eastAsia="楷体"/>
          <w:spacing w:val="4"/>
          <w:w w:val="95"/>
        </w:rPr>
        <w:t xml:space="preserve">中央政法委、公安部、民政部、 </w:t>
      </w:r>
      <w:r>
        <w:rPr>
          <w:rFonts w:hint="eastAsia" w:ascii="楷体" w:eastAsia="楷体"/>
          <w:spacing w:val="4"/>
        </w:rPr>
        <w:t>司法部、卫生健康委、中国残联按职责分工负责）</w:t>
      </w:r>
    </w:p>
    <w:p>
      <w:pPr>
        <w:pStyle w:val="10"/>
        <w:numPr>
          <w:ilvl w:val="0"/>
          <w:numId w:val="14"/>
        </w:numPr>
        <w:tabs>
          <w:tab w:val="left" w:pos="1052"/>
        </w:tabs>
        <w:spacing w:before="11" w:after="0" w:line="350" w:lineRule="auto"/>
        <w:ind w:left="171" w:right="429" w:firstLine="638"/>
        <w:jc w:val="both"/>
        <w:rPr>
          <w:rFonts w:hint="eastAsia" w:ascii="楷体" w:eastAsia="楷体"/>
          <w:sz w:val="32"/>
        </w:rPr>
      </w:pPr>
      <w:r>
        <w:rPr>
          <w:spacing w:val="-7"/>
          <w:sz w:val="32"/>
        </w:rPr>
        <w:t>重视并开展心理危机干预和心理援助工作。卫生健康、政</w:t>
      </w:r>
      <w:r>
        <w:rPr>
          <w:spacing w:val="4"/>
          <w:w w:val="95"/>
          <w:sz w:val="32"/>
        </w:rPr>
        <w:t xml:space="preserve">法、民政等单位建立和完善心理健康教育、心理热线服务、心 理评估、心理咨询、心理治疗、精神科治疗等衔接合作的心理 危机干预和心理援助服务模式。将心理危机干预和心理援助纳 入各类突发事件应急预案和技术方案，加强心理危机干预和心 理援助队伍的专业化、系统化建设。相关部门推动建立为公众 提供公益服务的心理援助热线，由专业人员接听，对来电者开 展心理健康教育、心理咨询和心理危机干预，降低来电者自杀 </w:t>
      </w:r>
      <w:r>
        <w:rPr>
          <w:spacing w:val="5"/>
          <w:w w:val="95"/>
          <w:sz w:val="32"/>
        </w:rPr>
        <w:t>或自伤的风险。</w:t>
      </w:r>
      <w:r>
        <w:rPr>
          <w:rFonts w:hint="eastAsia" w:ascii="楷体" w:eastAsia="楷体"/>
          <w:spacing w:val="5"/>
          <w:w w:val="95"/>
          <w:sz w:val="32"/>
        </w:rPr>
        <w:t>（</w:t>
      </w:r>
      <w:r>
        <w:rPr>
          <w:rFonts w:hint="eastAsia" w:ascii="楷体" w:eastAsia="楷体"/>
          <w:spacing w:val="4"/>
          <w:w w:val="95"/>
          <w:sz w:val="32"/>
        </w:rPr>
        <w:t xml:space="preserve">卫生健康委牵头，中央政法委、公安部、民 </w:t>
      </w:r>
      <w:r>
        <w:rPr>
          <w:rFonts w:hint="eastAsia" w:ascii="楷体" w:eastAsia="楷体"/>
          <w:sz w:val="32"/>
        </w:rPr>
        <w:t>政部按职责分工负责）</w:t>
      </w:r>
    </w:p>
    <w:p>
      <w:pPr>
        <w:pStyle w:val="2"/>
        <w:spacing w:before="14"/>
      </w:pPr>
      <w:bookmarkStart w:id="37" w:name="（六）健康环境促进行动。"/>
      <w:bookmarkEnd w:id="37"/>
      <w:r>
        <w:t>（六）健康环境促进行动。</w:t>
      </w:r>
    </w:p>
    <w:p>
      <w:pPr>
        <w:pStyle w:val="3"/>
        <w:spacing w:before="190" w:line="350" w:lineRule="auto"/>
        <w:jc w:val="both"/>
      </w:pPr>
      <w:r>
        <w:rPr>
          <w:spacing w:val="4"/>
          <w:w w:val="95"/>
        </w:rPr>
        <w:t xml:space="preserve">健康环境是人民群众健康的重要保障。影响健康的环境因 素不仅包括物理、化学和生物等自然环境因素，还包括社会环 </w:t>
      </w:r>
      <w:r>
        <w:rPr>
          <w:spacing w:val="2"/>
          <w:w w:val="95"/>
        </w:rPr>
        <w:t xml:space="preserve">境因素。环境污染已成为不容忽视的健康危险因素，与环境污 </w:t>
      </w:r>
      <w:r>
        <w:rPr>
          <w:spacing w:val="4"/>
          <w:w w:val="95"/>
        </w:rPr>
        <w:t>染相关的心血管疾病、呼吸系统疾病和恶性肿瘤等问题日益凸</w:t>
      </w:r>
    </w:p>
    <w:p>
      <w:pPr>
        <w:spacing w:after="0" w:line="350" w:lineRule="auto"/>
        <w:jc w:val="both"/>
        <w:sectPr>
          <w:pgSz w:w="11910" w:h="16840"/>
          <w:pgMar w:top="1540" w:right="1140" w:bottom="1380" w:left="1400" w:header="0" w:footer="1200" w:gutter="0"/>
        </w:sectPr>
      </w:pPr>
    </w:p>
    <w:p>
      <w:pPr>
        <w:pStyle w:val="3"/>
        <w:spacing w:line="350" w:lineRule="auto"/>
        <w:ind w:right="270" w:firstLine="0"/>
      </w:pPr>
      <w:r>
        <w:rPr>
          <w:spacing w:val="-20"/>
        </w:rPr>
        <w:t xml:space="preserve">显。我国每年因伤害死亡人数约 </w:t>
      </w:r>
      <w:r>
        <w:rPr>
          <w:rFonts w:ascii="Times New Roman" w:eastAsia="Times New Roman"/>
        </w:rPr>
        <w:t xml:space="preserve">68 </w:t>
      </w:r>
      <w:r>
        <w:rPr>
          <w:spacing w:val="-25"/>
        </w:rPr>
        <w:t xml:space="preserve">万人，约占死亡总人数的 </w:t>
      </w:r>
      <w:r>
        <w:rPr>
          <w:rFonts w:ascii="Times New Roman" w:eastAsia="Times New Roman"/>
        </w:rPr>
        <w:t>7%</w:t>
      </w:r>
      <w:r>
        <w:t>。</w:t>
      </w:r>
      <w:r>
        <w:rPr>
          <w:spacing w:val="4"/>
        </w:rPr>
        <w:t>目前最为常见的伤害主要有道路交通事故伤害、跌倒、自杀、</w:t>
      </w:r>
      <w:r>
        <w:rPr>
          <w:spacing w:val="-1"/>
        </w:rPr>
        <w:t xml:space="preserve">溺水、中毒等，其所导致的死亡占全部伤害死亡的 </w:t>
      </w:r>
      <w:r>
        <w:rPr>
          <w:rFonts w:ascii="Times New Roman" w:eastAsia="Times New Roman"/>
        </w:rPr>
        <w:t>84%</w:t>
      </w:r>
      <w:r>
        <w:rPr>
          <w:spacing w:val="3"/>
        </w:rPr>
        <w:t>左右。</w:t>
      </w:r>
      <w:r>
        <w:rPr>
          <w:spacing w:val="4"/>
        </w:rPr>
        <w:t>需要继续发挥爱国卫生运动的组织优势，全社会动员，把健康融入城乡规划、建设、治理的全过程，建立国家环境与健康风险评估制度，推进健康城市和健康村镇建设，打造健康环境。</w:t>
      </w:r>
    </w:p>
    <w:p>
      <w:pPr>
        <w:pStyle w:val="3"/>
        <w:spacing w:before="0" w:line="430" w:lineRule="exact"/>
        <w:ind w:left="810" w:right="0" w:firstLine="0"/>
        <w:rPr>
          <w:rFonts w:hint="eastAsia" w:ascii="黑体" w:eastAsia="黑体"/>
          <w:sz w:val="36"/>
        </w:rPr>
      </w:pPr>
      <w:bookmarkStart w:id="38" w:name="行动目标："/>
      <w:bookmarkEnd w:id="38"/>
      <w:r>
        <w:rPr>
          <w:rFonts w:hint="eastAsia" w:ascii="黑体" w:eastAsia="黑体"/>
        </w:rPr>
        <w:t>行动目标</w:t>
      </w:r>
      <w:r>
        <w:rPr>
          <w:rFonts w:hint="eastAsia" w:ascii="黑体" w:eastAsia="黑体"/>
          <w:sz w:val="36"/>
        </w:rPr>
        <w:t>：</w:t>
      </w:r>
    </w:p>
    <w:p>
      <w:pPr>
        <w:pStyle w:val="3"/>
        <w:spacing w:before="178" w:line="350" w:lineRule="auto"/>
        <w:jc w:val="both"/>
      </w:pPr>
      <w:bookmarkStart w:id="39" w:name="到2022年和2030年，居民饮用水水质达标情况明显改善并持续改善；居民环境与健"/>
      <w:bookmarkEnd w:id="39"/>
      <w:r>
        <w:rPr>
          <w:spacing w:val="-40"/>
        </w:rPr>
        <w:t xml:space="preserve">到 </w:t>
      </w:r>
      <w:r>
        <w:rPr>
          <w:rFonts w:ascii="Times New Roman" w:eastAsia="Times New Roman"/>
        </w:rPr>
        <w:t xml:space="preserve">2022 </w:t>
      </w:r>
      <w:r>
        <w:rPr>
          <w:spacing w:val="-25"/>
        </w:rPr>
        <w:t xml:space="preserve">年和 </w:t>
      </w:r>
      <w:r>
        <w:rPr>
          <w:rFonts w:ascii="Times New Roman" w:eastAsia="Times New Roman"/>
        </w:rPr>
        <w:t xml:space="preserve">2030 </w:t>
      </w:r>
      <w:r>
        <w:rPr>
          <w:spacing w:val="4"/>
        </w:rPr>
        <w:t>年，居民饮用水水质达标情况明显改善</w:t>
      </w:r>
      <w:r>
        <w:rPr>
          <w:spacing w:val="-2"/>
        </w:rPr>
        <w:t xml:space="preserve">并持续改善；居民环境与健康素养水平分别达到 </w:t>
      </w:r>
      <w:r>
        <w:rPr>
          <w:rFonts w:ascii="Times New Roman" w:eastAsia="Times New Roman"/>
        </w:rPr>
        <w:t>15%</w:t>
      </w:r>
      <w:r>
        <w:t>及以上和</w:t>
      </w:r>
      <w:r>
        <w:rPr>
          <w:rFonts w:ascii="Times New Roman" w:eastAsia="Times New Roman"/>
        </w:rPr>
        <w:t>25%</w:t>
      </w:r>
      <w:r>
        <w:rPr>
          <w:spacing w:val="-13"/>
        </w:rPr>
        <w:t>及以上；大力推进城乡生活垃圾分类处理，重点城市基本建成生活垃圾分类处理系统。</w:t>
      </w:r>
    </w:p>
    <w:p>
      <w:pPr>
        <w:pStyle w:val="3"/>
        <w:spacing w:before="6" w:line="350" w:lineRule="auto"/>
        <w:jc w:val="both"/>
      </w:pPr>
      <w:bookmarkStart w:id="40" w:name="提倡积极实施垃圾分类并及时清理，将固体废弃物主动投放到相应的回收地点及设施中；防"/>
      <w:bookmarkEnd w:id="40"/>
      <w:r>
        <w:rPr>
          <w:spacing w:val="4"/>
          <w:w w:val="95"/>
        </w:rPr>
        <w:t xml:space="preserve">提倡积极实施垃圾分类并及时清理，将固体废弃物主动投 放到相应的回收地点及设施中；防治室内空气污染，提倡简约 绿色装饰，做好室内油烟排风，提高家居环境水平；学校、医 院、车站、大型商场、电影院等人员密集的地方应定期开展火 灾、地震等自然灾害及突发事件的应急演练；提高自身健康防 护意识和能力，学会识别常见的危险标识、化学品安全标签及 </w:t>
      </w:r>
      <w:r>
        <w:t>环境保护图形标志。</w:t>
      </w:r>
    </w:p>
    <w:p>
      <w:pPr>
        <w:pStyle w:val="2"/>
        <w:spacing w:before="10"/>
        <w:rPr>
          <w:rFonts w:hint="eastAsia" w:ascii="仿宋" w:hAnsi="仿宋" w:eastAsia="仿宋"/>
        </w:rPr>
      </w:pPr>
      <w:bookmarkStart w:id="41" w:name="——个人和家庭："/>
      <w:bookmarkEnd w:id="41"/>
      <w:r>
        <w:rPr>
          <w:rFonts w:ascii="Times New Roman" w:hAnsi="Times New Roman" w:eastAsia="Times New Roman"/>
        </w:rPr>
        <w:t>——</w:t>
      </w:r>
      <w:r>
        <w:rPr>
          <w:rFonts w:hint="eastAsia" w:ascii="仿宋" w:hAnsi="仿宋" w:eastAsia="仿宋"/>
        </w:rPr>
        <w:t>个人和家庭：</w:t>
      </w:r>
    </w:p>
    <w:p>
      <w:pPr>
        <w:pStyle w:val="10"/>
        <w:numPr>
          <w:ilvl w:val="0"/>
          <w:numId w:val="15"/>
        </w:numPr>
        <w:tabs>
          <w:tab w:val="left" w:pos="1052"/>
        </w:tabs>
        <w:spacing w:before="190" w:after="0" w:line="350" w:lineRule="auto"/>
        <w:ind w:left="171" w:right="429" w:firstLine="638"/>
        <w:jc w:val="both"/>
        <w:rPr>
          <w:sz w:val="32"/>
        </w:rPr>
      </w:pPr>
      <w:r>
        <w:rPr>
          <w:spacing w:val="-11"/>
          <w:sz w:val="32"/>
        </w:rPr>
        <w:t>提高环境与健康素养。主动学习掌握环境与健康素养基本</w:t>
      </w:r>
      <w:r>
        <w:rPr>
          <w:spacing w:val="4"/>
          <w:w w:val="95"/>
          <w:sz w:val="32"/>
        </w:rPr>
        <w:t xml:space="preserve">理念、基本知识和基本技能，遵守生态环境行为规范，提升生 </w:t>
      </w:r>
      <w:r>
        <w:rPr>
          <w:sz w:val="32"/>
        </w:rPr>
        <w:t>态环境保护意识、健康防护意识和能力。</w:t>
      </w:r>
    </w:p>
    <w:p>
      <w:pPr>
        <w:spacing w:after="0" w:line="350" w:lineRule="auto"/>
        <w:jc w:val="both"/>
        <w:rPr>
          <w:sz w:val="32"/>
        </w:rPr>
        <w:sectPr>
          <w:pgSz w:w="11910" w:h="16840"/>
          <w:pgMar w:top="1540" w:right="1140" w:bottom="1380" w:left="1400" w:header="0" w:footer="1200" w:gutter="0"/>
        </w:sectPr>
      </w:pPr>
    </w:p>
    <w:p>
      <w:pPr>
        <w:pStyle w:val="10"/>
        <w:numPr>
          <w:ilvl w:val="0"/>
          <w:numId w:val="15"/>
        </w:numPr>
        <w:tabs>
          <w:tab w:val="left" w:pos="1052"/>
        </w:tabs>
        <w:spacing w:before="43" w:after="0" w:line="350" w:lineRule="auto"/>
        <w:ind w:left="171" w:right="270" w:firstLine="638"/>
        <w:jc w:val="left"/>
        <w:rPr>
          <w:sz w:val="32"/>
        </w:rPr>
      </w:pPr>
      <w:r>
        <w:rPr>
          <w:spacing w:val="-10"/>
          <w:sz w:val="32"/>
        </w:rPr>
        <w:t>自觉维护环境卫生，抵制环境污染行为。家庭成员养成良</w:t>
      </w:r>
      <w:r>
        <w:rPr>
          <w:spacing w:val="4"/>
          <w:sz w:val="32"/>
        </w:rPr>
        <w:t>好的环境卫生习惯，及时、主动开展家庭环境卫生清理，做到家庭卫生整洁，光线充足、通风良好、厕所卫生。维护社区、单位等环境卫生，改善生活生产环境。积极实施垃圾分类并及</w:t>
      </w:r>
      <w:r>
        <w:rPr>
          <w:spacing w:val="-1"/>
          <w:sz w:val="32"/>
        </w:rPr>
        <w:t>时清理，将固体废弃物</w:t>
      </w:r>
      <w:r>
        <w:rPr>
          <w:sz w:val="32"/>
        </w:rPr>
        <w:t>（</w:t>
      </w:r>
      <w:r>
        <w:rPr>
          <w:spacing w:val="-4"/>
          <w:sz w:val="32"/>
        </w:rPr>
        <w:t>废电池、废日光灯管、废水银温度计、</w:t>
      </w:r>
      <w:r>
        <w:rPr>
          <w:spacing w:val="5"/>
          <w:sz w:val="32"/>
        </w:rPr>
        <w:t>过期药品等）</w:t>
      </w:r>
      <w:r>
        <w:rPr>
          <w:spacing w:val="4"/>
          <w:sz w:val="32"/>
        </w:rPr>
        <w:t>主动投放到相应的回收地点及设施中，减少污染物的扩散及对环境的影响。减少烟尘排放，尽量避免垃圾秸秆焚烧，少放或不放烟花爆竹，重污染天气时禁止露天烧烤；发现污染生态环境的行为，及时劝阻或举报。</w:t>
      </w:r>
    </w:p>
    <w:p>
      <w:pPr>
        <w:pStyle w:val="10"/>
        <w:numPr>
          <w:ilvl w:val="0"/>
          <w:numId w:val="15"/>
        </w:numPr>
        <w:tabs>
          <w:tab w:val="left" w:pos="1052"/>
        </w:tabs>
        <w:spacing w:before="12" w:after="0" w:line="350" w:lineRule="auto"/>
        <w:ind w:left="171" w:right="270" w:firstLine="638"/>
        <w:jc w:val="left"/>
        <w:rPr>
          <w:sz w:val="32"/>
        </w:rPr>
      </w:pPr>
      <w:r>
        <w:rPr>
          <w:spacing w:val="-11"/>
          <w:sz w:val="32"/>
        </w:rPr>
        <w:t>倡导简约适度、绿色低碳、益于健康的生活方式。优先选</w:t>
      </w:r>
      <w:r>
        <w:rPr>
          <w:spacing w:val="4"/>
          <w:sz w:val="32"/>
        </w:rPr>
        <w:t>择绿色产品，尽量购买耐用品，少购买使用塑料袋、一次性发泡塑料饭盒、塑料管等易造成污染的用品，少购买使用过度包</w:t>
      </w:r>
      <w:r>
        <w:rPr>
          <w:spacing w:val="-3"/>
          <w:sz w:val="32"/>
        </w:rPr>
        <w:t>装产品，不跟风购买更新换代快的电子产品，外出自带购物袋、</w:t>
      </w:r>
      <w:r>
        <w:rPr>
          <w:spacing w:val="-10"/>
          <w:sz w:val="32"/>
        </w:rPr>
        <w:t xml:space="preserve">水杯等。适度使用空调，冬季设置温度不高于 </w:t>
      </w:r>
      <w:r>
        <w:rPr>
          <w:rFonts w:ascii="Times New Roman" w:eastAsia="Times New Roman"/>
          <w:sz w:val="32"/>
        </w:rPr>
        <w:t>20</w:t>
      </w:r>
      <w:r>
        <w:rPr>
          <w:rFonts w:ascii="Times New Roman" w:eastAsia="Times New Roman"/>
          <w:spacing w:val="-5"/>
          <w:sz w:val="32"/>
        </w:rPr>
        <w:t xml:space="preserve"> </w:t>
      </w:r>
      <w:r>
        <w:rPr>
          <w:spacing w:val="-3"/>
          <w:sz w:val="32"/>
        </w:rPr>
        <w:t>摄氏度，夏季</w:t>
      </w:r>
    </w:p>
    <w:p>
      <w:pPr>
        <w:pStyle w:val="3"/>
        <w:spacing w:before="7" w:line="350" w:lineRule="auto"/>
        <w:ind w:right="270" w:firstLine="0"/>
      </w:pPr>
      <w:r>
        <w:rPr>
          <w:spacing w:val="-11"/>
        </w:rPr>
        <w:t xml:space="preserve">设置温度不低于 </w:t>
      </w:r>
      <w:r>
        <w:rPr>
          <w:rFonts w:ascii="Times New Roman" w:eastAsia="Times New Roman"/>
        </w:rPr>
        <w:t xml:space="preserve">26 </w:t>
      </w:r>
      <w:r>
        <w:rPr>
          <w:spacing w:val="-15"/>
        </w:rPr>
        <w:t>摄氏度。及时关闭电器电源，减少待机耗电。</w:t>
      </w:r>
      <w:r>
        <w:rPr>
          <w:spacing w:val="4"/>
        </w:rPr>
        <w:t>坚持低碳出行，优先步行、骑行或公共交通出行，多使用共享交通工具。</w:t>
      </w:r>
    </w:p>
    <w:p>
      <w:pPr>
        <w:pStyle w:val="10"/>
        <w:numPr>
          <w:ilvl w:val="0"/>
          <w:numId w:val="15"/>
        </w:numPr>
        <w:tabs>
          <w:tab w:val="left" w:pos="1052"/>
        </w:tabs>
        <w:spacing w:before="4" w:after="0" w:line="350" w:lineRule="auto"/>
        <w:ind w:left="171" w:right="429" w:firstLine="638"/>
        <w:jc w:val="both"/>
        <w:rPr>
          <w:sz w:val="32"/>
        </w:rPr>
      </w:pPr>
      <w:r>
        <w:rPr>
          <w:spacing w:val="-13"/>
          <w:sz w:val="32"/>
        </w:rPr>
        <w:t>关注室</w:t>
      </w:r>
      <w:r>
        <w:rPr>
          <w:sz w:val="32"/>
        </w:rPr>
        <w:t>（车</w:t>
      </w:r>
      <w:r>
        <w:rPr>
          <w:spacing w:val="-39"/>
          <w:sz w:val="32"/>
        </w:rPr>
        <w:t>）</w:t>
      </w:r>
      <w:r>
        <w:rPr>
          <w:spacing w:val="-6"/>
          <w:sz w:val="32"/>
        </w:rPr>
        <w:t>内空气污染。尽量购买带有绿色标志的装饰</w:t>
      </w:r>
      <w:r>
        <w:rPr>
          <w:spacing w:val="4"/>
          <w:w w:val="95"/>
          <w:sz w:val="32"/>
        </w:rPr>
        <w:t xml:space="preserve">装修材料、家具及节能标识的家电产品。新装修的房间定期通 </w:t>
      </w:r>
      <w:r>
        <w:rPr>
          <w:spacing w:val="3"/>
          <w:w w:val="95"/>
          <w:sz w:val="32"/>
        </w:rPr>
        <w:t xml:space="preserve">风换气，降低装饰装修材料造成的室内空气污染。烹饪、取暖 </w:t>
      </w:r>
      <w:r>
        <w:rPr>
          <w:spacing w:val="5"/>
          <w:w w:val="95"/>
          <w:sz w:val="32"/>
        </w:rPr>
        <w:t>等提倡使用清洁能源（如气体燃料和电等）</w:t>
      </w:r>
      <w:r>
        <w:rPr>
          <w:spacing w:val="2"/>
          <w:w w:val="95"/>
          <w:sz w:val="32"/>
        </w:rPr>
        <w:t xml:space="preserve">。烹饪过程中提倡 </w:t>
      </w:r>
      <w:r>
        <w:rPr>
          <w:spacing w:val="4"/>
          <w:w w:val="95"/>
          <w:sz w:val="32"/>
        </w:rPr>
        <w:t>使用排气扇、抽油烟机等设备。购买和使用符合有害物质限量 标准的家用化学品。定期对家中饲养的宠物及宠物用品进行清</w:t>
      </w:r>
    </w:p>
    <w:p>
      <w:pPr>
        <w:spacing w:after="0" w:line="350" w:lineRule="auto"/>
        <w:jc w:val="both"/>
        <w:rPr>
          <w:sz w:val="32"/>
        </w:rPr>
        <w:sectPr>
          <w:footerReference r:id="rId8" w:type="default"/>
          <w:pgSz w:w="11910" w:h="16840"/>
          <w:pgMar w:top="1540" w:right="1140" w:bottom="1380" w:left="1400" w:header="0" w:footer="1200" w:gutter="0"/>
          <w:pgNumType w:start="50"/>
        </w:sectPr>
      </w:pPr>
    </w:p>
    <w:p>
      <w:pPr>
        <w:pStyle w:val="3"/>
        <w:spacing w:line="350" w:lineRule="auto"/>
        <w:ind w:firstLine="0"/>
        <w:jc w:val="both"/>
      </w:pPr>
      <w:r>
        <w:rPr>
          <w:spacing w:val="4"/>
          <w:w w:val="95"/>
        </w:rPr>
        <w:t xml:space="preserve">洁，及时倾倒室内垃圾，避免微生物的滋生。根据天气变化和 空气质量适时通风换气，重污染天气时应关闭门窗，减少室外 空气污染物进入室内，有条件的建议开启空气净化装置或新风 系统。鼓励根据实际需要，选购适宜排量的汽车，不进行非必 </w:t>
      </w:r>
      <w:r>
        <w:t>要的车内装饰，注意通风并及时清洗车用空调系统。</w:t>
      </w:r>
    </w:p>
    <w:p>
      <w:pPr>
        <w:pStyle w:val="10"/>
        <w:numPr>
          <w:ilvl w:val="0"/>
          <w:numId w:val="15"/>
        </w:numPr>
        <w:tabs>
          <w:tab w:val="left" w:pos="1052"/>
        </w:tabs>
        <w:spacing w:before="7" w:after="0" w:line="350" w:lineRule="auto"/>
        <w:ind w:left="171" w:right="429" w:firstLine="638"/>
        <w:jc w:val="left"/>
        <w:rPr>
          <w:sz w:val="32"/>
        </w:rPr>
      </w:pPr>
      <w:r>
        <w:rPr>
          <w:spacing w:val="-11"/>
          <w:sz w:val="32"/>
        </w:rPr>
        <w:t>做好户外健康防护。重污染天气时，建议尽量减少户外停留时间，易感人群停止户外活动。如外出，需做好健康防护。</w:t>
      </w:r>
    </w:p>
    <w:p>
      <w:pPr>
        <w:pStyle w:val="10"/>
        <w:numPr>
          <w:ilvl w:val="0"/>
          <w:numId w:val="15"/>
        </w:numPr>
        <w:tabs>
          <w:tab w:val="left" w:pos="1052"/>
        </w:tabs>
        <w:spacing w:before="3" w:after="0" w:line="350" w:lineRule="auto"/>
        <w:ind w:left="171" w:right="429" w:firstLine="638"/>
        <w:jc w:val="both"/>
        <w:rPr>
          <w:sz w:val="32"/>
        </w:rPr>
      </w:pPr>
      <w:r>
        <w:rPr>
          <w:spacing w:val="-10"/>
          <w:sz w:val="32"/>
        </w:rPr>
        <w:t>重视道路交通安全。严格遵守交通法规，增强交通出行规</w:t>
      </w:r>
      <w:r>
        <w:rPr>
          <w:spacing w:val="4"/>
          <w:w w:val="95"/>
          <w:sz w:val="32"/>
        </w:rPr>
        <w:t xml:space="preserve">则意识、安全意识和文明意识，不疲劳驾驶、超速行驶、酒后 驾驶，具备一定的应急处理能力。正确使用安全带，根据儿童 </w:t>
      </w:r>
      <w:r>
        <w:rPr>
          <w:sz w:val="32"/>
        </w:rPr>
        <w:t>年龄、身高和体重合理使用安全座椅，减少交通事故的发生。</w:t>
      </w:r>
    </w:p>
    <w:p>
      <w:pPr>
        <w:pStyle w:val="10"/>
        <w:numPr>
          <w:ilvl w:val="0"/>
          <w:numId w:val="15"/>
        </w:numPr>
        <w:tabs>
          <w:tab w:val="left" w:pos="1052"/>
        </w:tabs>
        <w:spacing w:before="5" w:after="0" w:line="350" w:lineRule="auto"/>
        <w:ind w:left="171" w:right="429" w:firstLine="638"/>
        <w:jc w:val="both"/>
        <w:rPr>
          <w:sz w:val="32"/>
        </w:rPr>
      </w:pPr>
      <w:r>
        <w:rPr>
          <w:spacing w:val="-11"/>
          <w:sz w:val="32"/>
        </w:rPr>
        <w:t>预防溺水。建议选择管理规范的游泳场所，不提倡在天然</w:t>
      </w:r>
      <w:r>
        <w:rPr>
          <w:spacing w:val="4"/>
          <w:w w:val="95"/>
          <w:sz w:val="32"/>
        </w:rPr>
        <w:t xml:space="preserve">水域游泳，下雨时不宜在室外游泳。建议下水前认真做准备活 动，以免下水后发生肌肉痉挛等问题。水中活动时，要避免打 闹、跳水等危险行为。避免儿童接近危险水域，儿童游泳时， 要有成人带领或有组织地进行。加强看护，不能将儿童单独留 </w:t>
      </w:r>
      <w:r>
        <w:rPr>
          <w:sz w:val="32"/>
        </w:rPr>
        <w:t>在卫生间、浴室、开放的水源边。</w:t>
      </w:r>
    </w:p>
    <w:p>
      <w:pPr>
        <w:pStyle w:val="2"/>
        <w:spacing w:before="8"/>
        <w:rPr>
          <w:rFonts w:hint="eastAsia" w:ascii="仿宋" w:hAnsi="仿宋" w:eastAsia="仿宋"/>
        </w:rPr>
      </w:pPr>
      <w:bookmarkStart w:id="42" w:name="——社会："/>
      <w:bookmarkEnd w:id="42"/>
      <w:r>
        <w:rPr>
          <w:rFonts w:ascii="Times New Roman" w:hAnsi="Times New Roman" w:eastAsia="Times New Roman"/>
        </w:rPr>
        <w:t>——</w:t>
      </w:r>
      <w:r>
        <w:rPr>
          <w:rFonts w:hint="eastAsia" w:ascii="仿宋" w:hAnsi="仿宋" w:eastAsia="仿宋"/>
        </w:rPr>
        <w:t>社会：</w:t>
      </w:r>
    </w:p>
    <w:p>
      <w:pPr>
        <w:pStyle w:val="10"/>
        <w:numPr>
          <w:ilvl w:val="0"/>
          <w:numId w:val="16"/>
        </w:numPr>
        <w:tabs>
          <w:tab w:val="left" w:pos="1052"/>
        </w:tabs>
        <w:spacing w:before="190" w:after="0" w:line="350" w:lineRule="auto"/>
        <w:ind w:left="171" w:right="270" w:firstLine="638"/>
        <w:jc w:val="left"/>
        <w:rPr>
          <w:sz w:val="32"/>
        </w:rPr>
      </w:pPr>
      <w:r>
        <w:rPr>
          <w:spacing w:val="-7"/>
          <w:sz w:val="32"/>
        </w:rPr>
        <w:t>制定社区健康公约和健康守则等行为规范，大力开展讲卫</w:t>
      </w:r>
      <w:r>
        <w:rPr>
          <w:spacing w:val="-7"/>
          <w:w w:val="95"/>
          <w:sz w:val="32"/>
        </w:rPr>
        <w:t xml:space="preserve">生、树新风、除陋习活动。加强社区基础设施和生态环境建设， </w:t>
      </w:r>
      <w:r>
        <w:rPr>
          <w:spacing w:val="4"/>
          <w:sz w:val="32"/>
        </w:rPr>
        <w:t>营造设施完备、整洁有序、美丽宜居、安全和谐的社区健康环境。建立固定的健康宣传栏、橱窗等健康教育窗口，设立社区健康自助检测点，配备血压计、血糖仪、腰围尺、体重仪、体</w:t>
      </w:r>
    </w:p>
    <w:p>
      <w:pPr>
        <w:spacing w:after="0" w:line="350" w:lineRule="auto"/>
        <w:jc w:val="left"/>
        <w:rPr>
          <w:sz w:val="32"/>
        </w:rPr>
        <w:sectPr>
          <w:pgSz w:w="11910" w:h="16840"/>
          <w:pgMar w:top="1540" w:right="1140" w:bottom="1380" w:left="1400" w:header="0" w:footer="1200" w:gutter="0"/>
        </w:sectPr>
      </w:pPr>
    </w:p>
    <w:p>
      <w:pPr>
        <w:pStyle w:val="3"/>
        <w:spacing w:line="350" w:lineRule="auto"/>
        <w:ind w:firstLine="0"/>
        <w:jc w:val="both"/>
      </w:pPr>
      <w:r>
        <w:rPr>
          <w:spacing w:val="7"/>
          <w:w w:val="95"/>
        </w:rPr>
        <w:t>重指数</w:t>
      </w:r>
      <w:r>
        <w:rPr>
          <w:spacing w:val="3"/>
          <w:w w:val="95"/>
        </w:rPr>
        <w:t>（</w:t>
      </w:r>
      <w:r>
        <w:rPr>
          <w:rFonts w:ascii="Times New Roman" w:hAnsi="Times New Roman" w:eastAsia="Times New Roman"/>
          <w:spacing w:val="3"/>
          <w:w w:val="95"/>
        </w:rPr>
        <w:t>BMI</w:t>
      </w:r>
      <w:r>
        <w:rPr>
          <w:spacing w:val="3"/>
          <w:w w:val="95"/>
        </w:rPr>
        <w:t>）</w:t>
      </w:r>
      <w:r>
        <w:rPr>
          <w:spacing w:val="6"/>
          <w:w w:val="95"/>
        </w:rPr>
        <w:t xml:space="preserve">尺、健康膳食图等，鼓励引导志愿者参与，指 </w:t>
      </w:r>
      <w:r>
        <w:rPr>
          <w:spacing w:val="4"/>
          <w:w w:val="95"/>
        </w:rPr>
        <w:t xml:space="preserve">导社区居民形成健康生活方式。用人单位充分考虑劳动者健康 需要，为劳动者提供健康支持性环境。完善健康家庭标准，将 文明健康生活方式以及体重、油、盐、糖、血压、近视等控制 </w:t>
      </w:r>
      <w:r>
        <w:rPr>
          <w:spacing w:val="5"/>
          <w:w w:val="95"/>
        </w:rPr>
        <w:t>情况纳入</w:t>
      </w:r>
      <w:r>
        <w:rPr>
          <w:rFonts w:ascii="Times New Roman" w:hAnsi="Times New Roman" w:eastAsia="Times New Roman"/>
          <w:spacing w:val="7"/>
          <w:w w:val="95"/>
        </w:rPr>
        <w:t>“</w:t>
      </w:r>
      <w:r>
        <w:rPr>
          <w:spacing w:val="6"/>
          <w:w w:val="95"/>
        </w:rPr>
        <w:t>五好文明家庭</w:t>
      </w:r>
      <w:r>
        <w:rPr>
          <w:rFonts w:ascii="Times New Roman" w:hAnsi="Times New Roman" w:eastAsia="Times New Roman"/>
          <w:spacing w:val="7"/>
          <w:w w:val="95"/>
        </w:rPr>
        <w:t>”</w:t>
      </w:r>
      <w:r>
        <w:rPr>
          <w:spacing w:val="4"/>
          <w:w w:val="95"/>
        </w:rPr>
        <w:t xml:space="preserve">评选标准，引导家庭成员主动学习掌 握必要的健康知识和技能，居家整洁，家庭和睦，提高自我健 </w:t>
      </w:r>
      <w:r>
        <w:t>康管理能力。</w:t>
      </w:r>
    </w:p>
    <w:p>
      <w:pPr>
        <w:pStyle w:val="10"/>
        <w:numPr>
          <w:ilvl w:val="0"/>
          <w:numId w:val="16"/>
        </w:numPr>
        <w:tabs>
          <w:tab w:val="left" w:pos="1052"/>
        </w:tabs>
        <w:spacing w:before="10" w:after="0" w:line="350" w:lineRule="auto"/>
        <w:ind w:left="171" w:right="429" w:firstLine="638"/>
        <w:jc w:val="both"/>
        <w:rPr>
          <w:sz w:val="32"/>
        </w:rPr>
      </w:pPr>
      <w:r>
        <w:rPr>
          <w:spacing w:val="-9"/>
          <w:sz w:val="32"/>
        </w:rPr>
        <w:t>企业主动提升环保意识，合理确定环境保护指标目标，建</w:t>
      </w:r>
      <w:r>
        <w:rPr>
          <w:spacing w:val="4"/>
          <w:w w:val="95"/>
          <w:sz w:val="32"/>
        </w:rPr>
        <w:t xml:space="preserve">立环保监测制度，并且管理维护好污染治理装置，污染物排放 必须符合环保标准。涉及危险化学品的生产、运输、储存、销 </w:t>
      </w:r>
      <w:r>
        <w:rPr>
          <w:spacing w:val="3"/>
          <w:w w:val="95"/>
          <w:sz w:val="32"/>
        </w:rPr>
        <w:t xml:space="preserve">售、使用、废弃物的处置等，企业要落实安全生产主体责任， </w:t>
      </w:r>
      <w:r>
        <w:rPr>
          <w:spacing w:val="4"/>
          <w:w w:val="95"/>
          <w:sz w:val="32"/>
        </w:rPr>
        <w:t xml:space="preserve">强化危险化学品全过程管理。鼓励发展安全、节能、环保的汽 </w:t>
      </w:r>
      <w:r>
        <w:rPr>
          <w:sz w:val="32"/>
        </w:rPr>
        <w:t>车产品。</w:t>
      </w:r>
    </w:p>
    <w:p>
      <w:pPr>
        <w:pStyle w:val="10"/>
        <w:numPr>
          <w:ilvl w:val="0"/>
          <w:numId w:val="16"/>
        </w:numPr>
        <w:tabs>
          <w:tab w:val="left" w:pos="1060"/>
        </w:tabs>
        <w:spacing w:before="8" w:after="0" w:line="350" w:lineRule="auto"/>
        <w:ind w:left="171" w:right="429" w:firstLine="638"/>
        <w:jc w:val="both"/>
        <w:rPr>
          <w:sz w:val="32"/>
        </w:rPr>
      </w:pPr>
      <w:r>
        <w:rPr>
          <w:spacing w:val="6"/>
          <w:w w:val="95"/>
          <w:sz w:val="32"/>
        </w:rPr>
        <w:t xml:space="preserve">鼓励企业建立消费品有害物质限量披露及质量安全事故 </w:t>
      </w:r>
      <w:r>
        <w:rPr>
          <w:spacing w:val="4"/>
          <w:w w:val="95"/>
          <w:sz w:val="32"/>
        </w:rPr>
        <w:t xml:space="preserve">监测和报告制度，提高装饰装修材料、日用化学品、儿童玩具 </w:t>
      </w:r>
      <w:r>
        <w:rPr>
          <w:sz w:val="32"/>
        </w:rPr>
        <w:t>和用品等消费品的安全标准，减少消费品造成的伤害。</w:t>
      </w:r>
    </w:p>
    <w:p>
      <w:pPr>
        <w:pStyle w:val="10"/>
        <w:numPr>
          <w:ilvl w:val="0"/>
          <w:numId w:val="16"/>
        </w:numPr>
        <w:tabs>
          <w:tab w:val="left" w:pos="1052"/>
        </w:tabs>
        <w:spacing w:before="4" w:after="0" w:line="350" w:lineRule="auto"/>
        <w:ind w:left="171" w:right="270" w:firstLine="638"/>
        <w:jc w:val="left"/>
        <w:rPr>
          <w:sz w:val="32"/>
        </w:rPr>
      </w:pPr>
      <w:r>
        <w:rPr>
          <w:spacing w:val="-7"/>
          <w:sz w:val="32"/>
        </w:rPr>
        <w:t>公共场所应定期清洗集中空调和新风系统。健身娱乐场所</w:t>
      </w:r>
      <w:r>
        <w:rPr>
          <w:spacing w:val="4"/>
          <w:sz w:val="32"/>
        </w:rPr>
        <w:t>建议安装新风系统或空气净化装置，重污染天气时，应根据人</w:t>
      </w:r>
      <w:r>
        <w:rPr>
          <w:sz w:val="32"/>
        </w:rPr>
        <w:t>员的情况及时开启净化装置补充新风。公共游泳场所定期消毒、</w:t>
      </w:r>
      <w:r>
        <w:rPr>
          <w:spacing w:val="4"/>
          <w:sz w:val="32"/>
        </w:rPr>
        <w:t>换水，以保证人群在清洁的环境中活动。根据气候、环境在公共场所张贴预防跌倒、触电、溺水等警示标识，减少意外伤害和跌倒致残，预防意外事故所致一氧化碳、氨气、氯气、消毒杀虫剂等中毒。</w:t>
      </w:r>
    </w:p>
    <w:p>
      <w:pPr>
        <w:spacing w:after="0" w:line="350" w:lineRule="auto"/>
        <w:jc w:val="left"/>
        <w:rPr>
          <w:sz w:val="32"/>
        </w:rPr>
        <w:sectPr>
          <w:pgSz w:w="11910" w:h="16840"/>
          <w:pgMar w:top="1540" w:right="1140" w:bottom="1380" w:left="1400" w:header="0" w:footer="1200" w:gutter="0"/>
        </w:sectPr>
      </w:pPr>
    </w:p>
    <w:p>
      <w:pPr>
        <w:pStyle w:val="10"/>
        <w:numPr>
          <w:ilvl w:val="0"/>
          <w:numId w:val="16"/>
        </w:numPr>
        <w:tabs>
          <w:tab w:val="left" w:pos="1052"/>
        </w:tabs>
        <w:spacing w:before="43" w:after="0" w:line="350" w:lineRule="auto"/>
        <w:ind w:left="171" w:right="429" w:firstLine="638"/>
        <w:jc w:val="both"/>
        <w:rPr>
          <w:sz w:val="32"/>
        </w:rPr>
      </w:pPr>
      <w:r>
        <w:rPr>
          <w:spacing w:val="-11"/>
          <w:w w:val="95"/>
          <w:sz w:val="32"/>
        </w:rPr>
        <w:t xml:space="preserve">针对不同人群，编制环境与健康手册，宣传和普及环境与 </w:t>
      </w:r>
      <w:r>
        <w:rPr>
          <w:spacing w:val="4"/>
          <w:w w:val="95"/>
          <w:sz w:val="32"/>
        </w:rPr>
        <w:t xml:space="preserve">健康基本理念、基本知识和基本技能，分类制定发布环境污染 </w:t>
      </w:r>
      <w:r>
        <w:rPr>
          <w:sz w:val="32"/>
        </w:rPr>
        <w:t>防护指南、公共场所和室内健康环境指南。</w:t>
      </w:r>
    </w:p>
    <w:p>
      <w:pPr>
        <w:pStyle w:val="10"/>
        <w:numPr>
          <w:ilvl w:val="0"/>
          <w:numId w:val="16"/>
        </w:numPr>
        <w:tabs>
          <w:tab w:val="left" w:pos="1052"/>
        </w:tabs>
        <w:spacing w:before="4" w:after="0" w:line="350" w:lineRule="auto"/>
        <w:ind w:left="171" w:right="270" w:firstLine="638"/>
        <w:jc w:val="both"/>
        <w:rPr>
          <w:sz w:val="32"/>
        </w:rPr>
      </w:pPr>
      <w:r>
        <w:rPr>
          <w:spacing w:val="-9"/>
          <w:sz w:val="32"/>
        </w:rPr>
        <w:t>经常性对公众进行防灾减灾、突发事件应对知识和技能的</w:t>
      </w:r>
      <w:r>
        <w:rPr>
          <w:spacing w:val="4"/>
          <w:sz w:val="32"/>
        </w:rPr>
        <w:t>传播和培训，提高自救和互救能力。学校、医院等人员密集的</w:t>
      </w:r>
      <w:r>
        <w:rPr>
          <w:sz w:val="32"/>
        </w:rPr>
        <w:t>地方应定期开展火灾、地震等自然灾害及突发事件的应急演练。</w:t>
      </w:r>
    </w:p>
    <w:p>
      <w:pPr>
        <w:pStyle w:val="2"/>
        <w:spacing w:before="4"/>
        <w:rPr>
          <w:rFonts w:hint="eastAsia" w:ascii="仿宋" w:hAnsi="仿宋" w:eastAsia="仿宋"/>
        </w:rPr>
      </w:pPr>
      <w:bookmarkStart w:id="43" w:name="——政府："/>
      <w:bookmarkEnd w:id="43"/>
      <w:r>
        <w:rPr>
          <w:rFonts w:ascii="Times New Roman" w:hAnsi="Times New Roman" w:eastAsia="Times New Roman"/>
        </w:rPr>
        <w:t>——</w:t>
      </w:r>
      <w:r>
        <w:rPr>
          <w:rFonts w:hint="eastAsia" w:ascii="仿宋" w:hAnsi="仿宋" w:eastAsia="仿宋"/>
        </w:rPr>
        <w:t>政府：</w:t>
      </w:r>
    </w:p>
    <w:p>
      <w:pPr>
        <w:pStyle w:val="10"/>
        <w:numPr>
          <w:ilvl w:val="0"/>
          <w:numId w:val="17"/>
        </w:numPr>
        <w:tabs>
          <w:tab w:val="left" w:pos="1052"/>
        </w:tabs>
        <w:spacing w:before="190" w:after="0" w:line="350" w:lineRule="auto"/>
        <w:ind w:left="171" w:right="270" w:firstLine="638"/>
        <w:jc w:val="left"/>
        <w:rPr>
          <w:rFonts w:hint="eastAsia" w:ascii="楷体" w:eastAsia="楷体"/>
          <w:sz w:val="32"/>
        </w:rPr>
      </w:pPr>
      <w:r>
        <w:rPr>
          <w:spacing w:val="-7"/>
          <w:sz w:val="32"/>
        </w:rPr>
        <w:t>制定健康社区、健康单位</w:t>
      </w:r>
      <w:r>
        <w:rPr>
          <w:sz w:val="32"/>
        </w:rPr>
        <w:t>（企业</w:t>
      </w:r>
      <w:r>
        <w:rPr>
          <w:spacing w:val="-29"/>
          <w:sz w:val="32"/>
        </w:rPr>
        <w:t>）</w:t>
      </w:r>
      <w:r>
        <w:rPr>
          <w:spacing w:val="-6"/>
          <w:sz w:val="32"/>
        </w:rPr>
        <w:t>、健康学校等健康细胞</w:t>
      </w:r>
      <w:r>
        <w:rPr>
          <w:spacing w:val="-9"/>
          <w:w w:val="95"/>
          <w:sz w:val="32"/>
        </w:rPr>
        <w:t xml:space="preserve">工程建设规范和评价指标。建立完善健康城乡监测与评价体系， </w:t>
      </w:r>
      <w:r>
        <w:rPr>
          <w:spacing w:val="4"/>
          <w:sz w:val="32"/>
        </w:rPr>
        <w:t>定期组织开展第三方评估，打造卫生城镇升级版。</w:t>
      </w:r>
      <w:r>
        <w:rPr>
          <w:rFonts w:hint="eastAsia" w:ascii="楷体" w:eastAsia="楷体"/>
          <w:spacing w:val="5"/>
          <w:sz w:val="32"/>
        </w:rPr>
        <w:t>（</w:t>
      </w:r>
      <w:r>
        <w:rPr>
          <w:rFonts w:hint="eastAsia" w:ascii="楷体" w:eastAsia="楷体"/>
          <w:spacing w:val="3"/>
          <w:sz w:val="32"/>
        </w:rPr>
        <w:t>卫生健康委牵头，教育部、民政部按职责分工负责）</w:t>
      </w:r>
    </w:p>
    <w:p>
      <w:pPr>
        <w:pStyle w:val="10"/>
        <w:numPr>
          <w:ilvl w:val="0"/>
          <w:numId w:val="17"/>
        </w:numPr>
        <w:tabs>
          <w:tab w:val="left" w:pos="1052"/>
        </w:tabs>
        <w:spacing w:before="6" w:after="0" w:line="350" w:lineRule="auto"/>
        <w:ind w:left="171" w:right="427" w:firstLine="638"/>
        <w:jc w:val="both"/>
        <w:rPr>
          <w:rFonts w:hint="eastAsia" w:ascii="楷体" w:hAnsi="楷体" w:eastAsia="楷体"/>
          <w:sz w:val="32"/>
        </w:rPr>
      </w:pPr>
      <w:r>
        <w:rPr>
          <w:spacing w:val="-8"/>
          <w:w w:val="95"/>
          <w:sz w:val="32"/>
        </w:rPr>
        <w:t xml:space="preserve">逐步建立环境与健康的调查、监测和风险评估制度。加强 </w:t>
      </w:r>
      <w:r>
        <w:rPr>
          <w:spacing w:val="4"/>
          <w:w w:val="95"/>
          <w:sz w:val="32"/>
        </w:rPr>
        <w:t xml:space="preserve">与群众健康密切相关的饮用水、空气、土壤等环境健康影响监 测与评价，开展环境污染与疾病关系、健康风险预警以及防护 干预研究，加强伤害监测网络建设，采取有效措施预防控制环 </w:t>
      </w:r>
      <w:r>
        <w:rPr>
          <w:spacing w:val="-8"/>
          <w:sz w:val="32"/>
        </w:rPr>
        <w:t>境污染相关疾病。宣传</w:t>
      </w:r>
      <w:r>
        <w:rPr>
          <w:rFonts w:ascii="Times New Roman" w:hAnsi="Times New Roman" w:eastAsia="Times New Roman"/>
          <w:sz w:val="32"/>
        </w:rPr>
        <w:t>“</w:t>
      </w:r>
      <w:r>
        <w:rPr>
          <w:sz w:val="32"/>
        </w:rPr>
        <w:t>人与自然和谐共生</w:t>
      </w:r>
      <w:r>
        <w:rPr>
          <w:rFonts w:ascii="Times New Roman" w:hAnsi="Times New Roman" w:eastAsia="Times New Roman"/>
          <w:sz w:val="32"/>
        </w:rPr>
        <w:t>”</w:t>
      </w:r>
      <w:r>
        <w:rPr>
          <w:spacing w:val="-41"/>
          <w:sz w:val="32"/>
        </w:rPr>
        <w:t xml:space="preserve">、 </w:t>
      </w:r>
      <w:r>
        <w:rPr>
          <w:rFonts w:ascii="Times New Roman" w:hAnsi="Times New Roman" w:eastAsia="Times New Roman"/>
          <w:sz w:val="32"/>
        </w:rPr>
        <w:t>“</w:t>
      </w:r>
      <w:r>
        <w:rPr>
          <w:sz w:val="32"/>
        </w:rPr>
        <w:t>人人享有健康环境</w:t>
      </w:r>
      <w:r>
        <w:rPr>
          <w:rFonts w:ascii="Times New Roman" w:hAnsi="Times New Roman" w:eastAsia="Times New Roman"/>
          <w:sz w:val="32"/>
        </w:rPr>
        <w:t>”</w:t>
      </w:r>
      <w:r>
        <w:rPr>
          <w:spacing w:val="-4"/>
          <w:sz w:val="32"/>
        </w:rPr>
        <w:t>理念，普及环境健康知识，营造全社会关心、参与环境健康</w:t>
      </w:r>
      <w:r>
        <w:rPr>
          <w:spacing w:val="4"/>
          <w:w w:val="95"/>
          <w:sz w:val="32"/>
        </w:rPr>
        <w:t>的良好氛围。</w:t>
      </w:r>
      <w:r>
        <w:rPr>
          <w:rFonts w:hint="eastAsia" w:ascii="楷体" w:hAnsi="楷体" w:eastAsia="楷体"/>
          <w:spacing w:val="5"/>
          <w:w w:val="95"/>
          <w:sz w:val="32"/>
        </w:rPr>
        <w:t>（</w:t>
      </w:r>
      <w:r>
        <w:rPr>
          <w:rFonts w:hint="eastAsia" w:ascii="楷体" w:hAnsi="楷体" w:eastAsia="楷体"/>
          <w:spacing w:val="4"/>
          <w:w w:val="95"/>
          <w:sz w:val="32"/>
        </w:rPr>
        <w:t xml:space="preserve">卫生健康委牵头，自然资源部、生态环境部、 住房城乡建设部、水利部、农业农村部、市场监管总局、粮食 </w:t>
      </w:r>
      <w:r>
        <w:rPr>
          <w:rFonts w:hint="eastAsia" w:ascii="楷体" w:hAnsi="楷体" w:eastAsia="楷体"/>
          <w:sz w:val="32"/>
        </w:rPr>
        <w:t>和储备局、林草局等按职责分工负责）</w:t>
      </w:r>
    </w:p>
    <w:p>
      <w:pPr>
        <w:pStyle w:val="10"/>
        <w:numPr>
          <w:ilvl w:val="0"/>
          <w:numId w:val="17"/>
        </w:numPr>
        <w:tabs>
          <w:tab w:val="left" w:pos="1052"/>
        </w:tabs>
        <w:spacing w:before="12" w:after="0" w:line="350" w:lineRule="auto"/>
        <w:ind w:left="171" w:right="429" w:firstLine="638"/>
        <w:jc w:val="both"/>
        <w:rPr>
          <w:rFonts w:hint="eastAsia" w:ascii="楷体" w:eastAsia="楷体"/>
          <w:sz w:val="32"/>
        </w:rPr>
      </w:pPr>
      <w:r>
        <w:rPr>
          <w:spacing w:val="-11"/>
          <w:w w:val="95"/>
          <w:sz w:val="32"/>
        </w:rPr>
        <w:t xml:space="preserve">深入开展大气、水、土壤污染防治。修订《中国公民环境 </w:t>
      </w:r>
      <w:r>
        <w:rPr>
          <w:spacing w:val="5"/>
          <w:w w:val="95"/>
          <w:sz w:val="32"/>
        </w:rPr>
        <w:t>与健康素养（</w:t>
      </w:r>
      <w:r>
        <w:rPr>
          <w:spacing w:val="6"/>
          <w:w w:val="95"/>
          <w:sz w:val="32"/>
        </w:rPr>
        <w:t>试行</w:t>
      </w:r>
      <w:r>
        <w:rPr>
          <w:spacing w:val="5"/>
          <w:w w:val="95"/>
          <w:sz w:val="32"/>
        </w:rPr>
        <w:t>）</w:t>
      </w:r>
      <w:r>
        <w:rPr>
          <w:spacing w:val="3"/>
          <w:w w:val="95"/>
          <w:sz w:val="32"/>
        </w:rPr>
        <w:t xml:space="preserve">》，开展公民环境与健康素养提升和科普 </w:t>
      </w:r>
      <w:r>
        <w:rPr>
          <w:spacing w:val="5"/>
          <w:w w:val="95"/>
          <w:sz w:val="32"/>
        </w:rPr>
        <w:t>宣传工作。</w:t>
      </w:r>
      <w:r>
        <w:rPr>
          <w:rFonts w:hint="eastAsia" w:ascii="楷体" w:eastAsia="楷体"/>
          <w:spacing w:val="5"/>
          <w:w w:val="95"/>
          <w:sz w:val="32"/>
        </w:rPr>
        <w:t>（</w:t>
      </w:r>
      <w:r>
        <w:rPr>
          <w:rFonts w:hint="eastAsia" w:ascii="楷体" w:eastAsia="楷体"/>
          <w:spacing w:val="4"/>
          <w:w w:val="95"/>
          <w:sz w:val="32"/>
        </w:rPr>
        <w:t>生态环境部牵头，发展改革委、科技部、工业和</w:t>
      </w:r>
    </w:p>
    <w:p>
      <w:pPr>
        <w:spacing w:after="0" w:line="350" w:lineRule="auto"/>
        <w:jc w:val="both"/>
        <w:rPr>
          <w:rFonts w:hint="eastAsia" w:ascii="楷体" w:eastAsia="楷体"/>
          <w:sz w:val="32"/>
        </w:rPr>
        <w:sectPr>
          <w:pgSz w:w="11910" w:h="16840"/>
          <w:pgMar w:top="1540" w:right="1140" w:bottom="1380" w:left="1400" w:header="0" w:footer="1200" w:gutter="0"/>
        </w:sectPr>
      </w:pPr>
    </w:p>
    <w:p>
      <w:pPr>
        <w:pStyle w:val="3"/>
        <w:spacing w:line="350" w:lineRule="auto"/>
        <w:ind w:firstLine="0"/>
        <w:rPr>
          <w:rFonts w:hint="eastAsia" w:ascii="楷体" w:eastAsia="楷体"/>
        </w:rPr>
      </w:pPr>
      <w:r>
        <w:rPr>
          <w:rFonts w:hint="eastAsia" w:ascii="楷体" w:eastAsia="楷体"/>
          <w:spacing w:val="4"/>
          <w:w w:val="95"/>
        </w:rPr>
        <w:t xml:space="preserve">信息化部、自然资源部、住房城乡建设部、交通运输部、水利 </w:t>
      </w:r>
      <w:r>
        <w:rPr>
          <w:rFonts w:hint="eastAsia" w:ascii="楷体" w:eastAsia="楷体"/>
        </w:rPr>
        <w:t>部、农业农村部、卫生健康委等按职责分工负责）</w:t>
      </w:r>
    </w:p>
    <w:p>
      <w:pPr>
        <w:pStyle w:val="10"/>
        <w:numPr>
          <w:ilvl w:val="0"/>
          <w:numId w:val="17"/>
        </w:numPr>
        <w:tabs>
          <w:tab w:val="left" w:pos="1052"/>
        </w:tabs>
        <w:spacing w:before="3" w:after="0" w:line="350" w:lineRule="auto"/>
        <w:ind w:left="171" w:right="270" w:firstLine="638"/>
        <w:jc w:val="left"/>
        <w:rPr>
          <w:rFonts w:hint="eastAsia" w:ascii="楷体" w:eastAsia="楷体"/>
          <w:sz w:val="32"/>
        </w:rPr>
      </w:pPr>
      <w:r>
        <w:rPr>
          <w:spacing w:val="-18"/>
          <w:w w:val="95"/>
          <w:sz w:val="32"/>
        </w:rPr>
        <w:t xml:space="preserve">加大饮用水工程设施投入、管理和维护，保障饮用水安全。 </w:t>
      </w:r>
      <w:r>
        <w:rPr>
          <w:spacing w:val="4"/>
          <w:sz w:val="32"/>
        </w:rPr>
        <w:t>加强城市公共安全基础设施建设，加大固体废弃物回收设施的投入，加强废弃物分类处置管理。加强城乡公共消防设施建设和维护管理，合理规划和建设</w:t>
      </w:r>
      <w:r>
        <w:fldChar w:fldCharType="begin"/>
      </w:r>
      <w:r>
        <w:instrText xml:space="preserve"> HYPERLINK "https://www.baidu.com/s?wd=%E5%BA%94%E6%80%A5%E9%81%BF%E9%9A%BE%E5%9C%BA%E6%89%80&amp;amp;tn=SE_PcZhidaonwhc_ngpagmjz&amp;amp;rsv_dl=gh_pc_zhidao" \h </w:instrText>
      </w:r>
      <w:r>
        <w:fldChar w:fldCharType="separate"/>
      </w:r>
      <w:r>
        <w:rPr>
          <w:spacing w:val="5"/>
          <w:sz w:val="32"/>
        </w:rPr>
        <w:t>应急避难场所</w:t>
      </w:r>
      <w:r>
        <w:rPr>
          <w:spacing w:val="5"/>
          <w:sz w:val="32"/>
        </w:rPr>
        <w:fldChar w:fldCharType="end"/>
      </w:r>
      <w:r>
        <w:rPr>
          <w:spacing w:val="4"/>
          <w:sz w:val="32"/>
        </w:rPr>
        <w:t>，加强应急物资储备体系建设。提高企业、医院、学校、大型商场、文体娱乐场</w:t>
      </w:r>
      <w:r>
        <w:rPr>
          <w:spacing w:val="5"/>
          <w:sz w:val="32"/>
        </w:rPr>
        <w:t>所等</w:t>
      </w:r>
      <w:r>
        <w:fldChar w:fldCharType="begin"/>
      </w:r>
      <w:r>
        <w:instrText xml:space="preserve"> HYPERLINK "https://www.baidu.com/s?wd=%E4%BA%BA%E5%91%98%E5%AF%86%E9%9B%86%E5%9C%BA%E6%89%80&amp;amp;tn=SE_PcZhidaonwhc_ngpagmjz&amp;amp;rsv_dl=gh_pc_zhidao" \h </w:instrText>
      </w:r>
      <w:r>
        <w:fldChar w:fldCharType="separate"/>
      </w:r>
      <w:r>
        <w:rPr>
          <w:spacing w:val="5"/>
          <w:sz w:val="32"/>
        </w:rPr>
        <w:t>人员密集区域</w:t>
      </w:r>
      <w:r>
        <w:rPr>
          <w:spacing w:val="5"/>
          <w:sz w:val="32"/>
        </w:rPr>
        <w:fldChar w:fldCharType="end"/>
      </w:r>
      <w:r>
        <w:rPr>
          <w:spacing w:val="4"/>
          <w:sz w:val="32"/>
        </w:rPr>
        <w:t>防灾抗灾及应对突发事件的能力。完善医疗</w:t>
      </w:r>
      <w:r>
        <w:rPr>
          <w:spacing w:val="5"/>
          <w:sz w:val="32"/>
        </w:rPr>
        <w:t>机构无障碍设施。</w:t>
      </w:r>
      <w:r>
        <w:rPr>
          <w:rFonts w:hint="eastAsia" w:ascii="楷体" w:eastAsia="楷体"/>
          <w:spacing w:val="5"/>
          <w:sz w:val="32"/>
        </w:rPr>
        <w:t>（</w:t>
      </w:r>
      <w:r>
        <w:rPr>
          <w:rFonts w:hint="eastAsia" w:ascii="楷体" w:eastAsia="楷体"/>
          <w:spacing w:val="4"/>
          <w:sz w:val="32"/>
        </w:rPr>
        <w:t>发展改革委、生态环境部、住房城乡建设部、水利部、文化和旅游部、卫生健康委、应急部、体育总局等按职责分工负责）</w:t>
      </w:r>
    </w:p>
    <w:p>
      <w:pPr>
        <w:pStyle w:val="10"/>
        <w:numPr>
          <w:ilvl w:val="0"/>
          <w:numId w:val="17"/>
        </w:numPr>
        <w:tabs>
          <w:tab w:val="left" w:pos="1052"/>
        </w:tabs>
        <w:spacing w:before="12" w:after="0" w:line="350" w:lineRule="auto"/>
        <w:ind w:left="171" w:right="110" w:firstLine="638"/>
        <w:jc w:val="left"/>
        <w:rPr>
          <w:rFonts w:hint="eastAsia" w:ascii="楷体" w:eastAsia="楷体"/>
          <w:sz w:val="32"/>
        </w:rPr>
      </w:pPr>
      <w:r>
        <w:rPr>
          <w:spacing w:val="-8"/>
          <w:w w:val="95"/>
          <w:sz w:val="32"/>
        </w:rPr>
        <w:t xml:space="preserve">组织实施交通安全生命防护工程，提高交通安全技术标准， </w:t>
      </w:r>
      <w:r>
        <w:rPr>
          <w:spacing w:val="5"/>
          <w:sz w:val="32"/>
        </w:rPr>
        <w:t>加强交通安全隐患治理，减少交通伤害事件的发生。</w:t>
      </w:r>
      <w:r>
        <w:rPr>
          <w:rFonts w:hint="eastAsia" w:ascii="楷体" w:eastAsia="楷体"/>
          <w:spacing w:val="5"/>
          <w:sz w:val="32"/>
        </w:rPr>
        <w:t>（</w:t>
      </w:r>
      <w:r>
        <w:rPr>
          <w:rFonts w:hint="eastAsia" w:ascii="楷体" w:eastAsia="楷体"/>
          <w:spacing w:val="4"/>
          <w:sz w:val="32"/>
        </w:rPr>
        <w:t>交通运输部牵头，工业和信息化部、公安部、国家铁路局、民航局等按职责分工负责）</w:t>
      </w:r>
    </w:p>
    <w:p>
      <w:pPr>
        <w:pStyle w:val="10"/>
        <w:numPr>
          <w:ilvl w:val="0"/>
          <w:numId w:val="17"/>
        </w:numPr>
        <w:tabs>
          <w:tab w:val="left" w:pos="1052"/>
        </w:tabs>
        <w:spacing w:before="6" w:after="0" w:line="350" w:lineRule="auto"/>
        <w:ind w:left="171" w:right="429" w:firstLine="638"/>
        <w:jc w:val="both"/>
        <w:rPr>
          <w:rFonts w:hint="eastAsia" w:ascii="楷体" w:eastAsia="楷体"/>
          <w:sz w:val="32"/>
        </w:rPr>
      </w:pPr>
      <w:r>
        <w:rPr>
          <w:spacing w:val="-11"/>
          <w:sz w:val="32"/>
        </w:rPr>
        <w:t>加强装饰装修材料、日用化学品、儿童玩具和用品等消费</w:t>
      </w:r>
      <w:r>
        <w:rPr>
          <w:spacing w:val="4"/>
          <w:w w:val="95"/>
          <w:sz w:val="32"/>
        </w:rPr>
        <w:t>品的安全性评价，完善产品伤害监测体系，提高相关标准，加 强消费品绿色安全认证，建立消费品质量安全事故的强制报告 制度，加强召回管理力度，强化重点领域质量安全监管。</w:t>
      </w:r>
      <w:r>
        <w:rPr>
          <w:rFonts w:hint="eastAsia" w:ascii="楷体" w:eastAsia="楷体"/>
          <w:spacing w:val="5"/>
          <w:w w:val="95"/>
          <w:sz w:val="32"/>
        </w:rPr>
        <w:t>（</w:t>
      </w:r>
      <w:r>
        <w:rPr>
          <w:rFonts w:hint="eastAsia" w:ascii="楷体" w:eastAsia="楷体"/>
          <w:spacing w:val="-11"/>
          <w:w w:val="95"/>
          <w:sz w:val="32"/>
        </w:rPr>
        <w:t xml:space="preserve">市 </w:t>
      </w:r>
      <w:r>
        <w:rPr>
          <w:rFonts w:hint="eastAsia" w:ascii="楷体" w:eastAsia="楷体"/>
          <w:spacing w:val="4"/>
          <w:w w:val="95"/>
          <w:sz w:val="32"/>
        </w:rPr>
        <w:t xml:space="preserve">场监管总局牵头，工业和信息化部、住房城乡建设部等按职责 </w:t>
      </w:r>
      <w:r>
        <w:rPr>
          <w:rFonts w:hint="eastAsia" w:ascii="楷体" w:eastAsia="楷体"/>
          <w:sz w:val="32"/>
        </w:rPr>
        <w:t>分工负责）</w:t>
      </w:r>
    </w:p>
    <w:p>
      <w:pPr>
        <w:pStyle w:val="10"/>
        <w:numPr>
          <w:ilvl w:val="0"/>
          <w:numId w:val="17"/>
        </w:numPr>
        <w:tabs>
          <w:tab w:val="left" w:pos="1060"/>
        </w:tabs>
        <w:spacing w:before="8" w:after="0" w:line="350" w:lineRule="auto"/>
        <w:ind w:left="171" w:right="429" w:firstLine="638"/>
        <w:jc w:val="left"/>
        <w:rPr>
          <w:sz w:val="32"/>
        </w:rPr>
      </w:pPr>
      <w:r>
        <w:rPr>
          <w:spacing w:val="6"/>
          <w:w w:val="95"/>
          <w:sz w:val="32"/>
        </w:rPr>
        <w:t xml:space="preserve">以复合污染对健康影响和污染健康防护为重点开展攻关 </w:t>
      </w:r>
      <w:r>
        <w:rPr>
          <w:spacing w:val="4"/>
          <w:w w:val="95"/>
          <w:sz w:val="32"/>
        </w:rPr>
        <w:t>研究，着力研发一批关键核心技术，指导公众做好健康防护。</w:t>
      </w:r>
    </w:p>
    <w:p>
      <w:pPr>
        <w:spacing w:after="0" w:line="350" w:lineRule="auto"/>
        <w:jc w:val="left"/>
        <w:rPr>
          <w:sz w:val="32"/>
        </w:rPr>
        <w:sectPr>
          <w:pgSz w:w="11910" w:h="16840"/>
          <w:pgMar w:top="1540" w:right="1140" w:bottom="1380" w:left="1400" w:header="0" w:footer="1200" w:gutter="0"/>
        </w:sectPr>
      </w:pPr>
    </w:p>
    <w:p>
      <w:pPr>
        <w:pStyle w:val="3"/>
        <w:spacing w:line="350" w:lineRule="auto"/>
        <w:ind w:firstLine="0"/>
        <w:rPr>
          <w:rFonts w:hint="eastAsia" w:ascii="楷体" w:eastAsia="楷体"/>
        </w:rPr>
      </w:pPr>
      <w:r>
        <w:rPr>
          <w:rFonts w:hint="eastAsia" w:ascii="楷体" w:eastAsia="楷体"/>
          <w:spacing w:val="5"/>
          <w:w w:val="95"/>
        </w:rPr>
        <w:t>（</w:t>
      </w:r>
      <w:r>
        <w:rPr>
          <w:rFonts w:hint="eastAsia" w:ascii="楷体" w:eastAsia="楷体"/>
          <w:spacing w:val="4"/>
          <w:w w:val="95"/>
        </w:rPr>
        <w:t xml:space="preserve">卫生健康委牵头，科技部、生态环境部、气象局等按职责分 </w:t>
      </w:r>
      <w:r>
        <w:rPr>
          <w:rFonts w:hint="eastAsia" w:ascii="楷体" w:eastAsia="楷体"/>
        </w:rPr>
        <w:t>工负责）</w:t>
      </w:r>
    </w:p>
    <w:p>
      <w:pPr>
        <w:pStyle w:val="2"/>
        <w:spacing w:before="3"/>
      </w:pPr>
      <w:bookmarkStart w:id="44" w:name="_TOC_250008"/>
      <w:bookmarkEnd w:id="44"/>
      <w:r>
        <w:t>（七）妇幼健康促进行动。</w:t>
      </w:r>
    </w:p>
    <w:p>
      <w:pPr>
        <w:pStyle w:val="3"/>
        <w:spacing w:before="190" w:line="350" w:lineRule="auto"/>
        <w:jc w:val="both"/>
      </w:pPr>
      <w:r>
        <w:rPr>
          <w:spacing w:val="4"/>
          <w:w w:val="95"/>
        </w:rPr>
        <w:t xml:space="preserve">妇幼健康是全民健康的基础。新时期妇幼健康面临新的挑 战。出生缺陷不仅严重影响儿童的生命健康和生活质量，而且 影响人口健康素质。随着生育政策调整完善，生育需求逐步释 放，高危孕产妇比例有所增加，保障母婴安全压力增大。生育 全程服务覆盖不广泛，宫颈癌和乳腺癌高发态势仍未扭转，儿 童早期发展亟需加强，妇女儿童健康状况在城乡之间、区域之 间还存在差异，妇幼健康服务供给能力有待提高。实施妇幼健 康促进行动，是保护妇女儿童健康权益，促进妇女儿童全面发 展、维护生殖健康的重要举措，有助于从源头和基础上提高国 </w:t>
      </w:r>
      <w:r>
        <w:t>民健康水平。</w:t>
      </w:r>
    </w:p>
    <w:p>
      <w:pPr>
        <w:pStyle w:val="3"/>
        <w:spacing w:before="13"/>
        <w:ind w:left="810" w:right="0" w:firstLine="0"/>
        <w:rPr>
          <w:rFonts w:hint="eastAsia" w:ascii="黑体" w:eastAsia="黑体"/>
        </w:rPr>
      </w:pPr>
      <w:r>
        <w:rPr>
          <w:rFonts w:hint="eastAsia" w:ascii="黑体" w:eastAsia="黑体"/>
        </w:rPr>
        <w:t>行动目标：</w:t>
      </w:r>
    </w:p>
    <w:p>
      <w:pPr>
        <w:pStyle w:val="3"/>
        <w:spacing w:before="190" w:line="350" w:lineRule="auto"/>
        <w:ind w:right="428"/>
        <w:jc w:val="both"/>
      </w:pPr>
      <w:r>
        <w:rPr>
          <w:spacing w:val="-41"/>
        </w:rPr>
        <w:t xml:space="preserve">到 </w:t>
      </w:r>
      <w:r>
        <w:rPr>
          <w:rFonts w:ascii="Times New Roman" w:hAnsi="Times New Roman" w:eastAsia="Times New Roman"/>
        </w:rPr>
        <w:t xml:space="preserve">2022 </w:t>
      </w:r>
      <w:r>
        <w:rPr>
          <w:spacing w:val="-28"/>
        </w:rPr>
        <w:t xml:space="preserve">年和 </w:t>
      </w:r>
      <w:r>
        <w:rPr>
          <w:rFonts w:ascii="Times New Roman" w:hAnsi="Times New Roman" w:eastAsia="Times New Roman"/>
        </w:rPr>
        <w:t xml:space="preserve">2030 </w:t>
      </w:r>
      <w:r>
        <w:rPr>
          <w:spacing w:val="-12"/>
        </w:rPr>
        <w:t xml:space="preserve">年，婴儿死亡率分别控制在 </w:t>
      </w:r>
      <w:r>
        <w:rPr>
          <w:rFonts w:ascii="Times New Roman" w:hAnsi="Times New Roman" w:eastAsia="Times New Roman"/>
        </w:rPr>
        <w:t>7.5‰</w:t>
      </w:r>
      <w:r>
        <w:t>及以下</w:t>
      </w:r>
      <w:r>
        <w:rPr>
          <w:spacing w:val="-42"/>
        </w:rPr>
        <w:t xml:space="preserve">和 </w:t>
      </w:r>
      <w:r>
        <w:rPr>
          <w:rFonts w:ascii="Times New Roman" w:hAnsi="Times New Roman" w:eastAsia="Times New Roman"/>
          <w:spacing w:val="3"/>
        </w:rPr>
        <w:t>5‰</w:t>
      </w:r>
      <w:r>
        <w:rPr>
          <w:spacing w:val="4"/>
        </w:rPr>
        <w:t>及以下；</w:t>
      </w:r>
      <w:r>
        <w:rPr>
          <w:rFonts w:ascii="Times New Roman" w:hAnsi="Times New Roman" w:eastAsia="Times New Roman"/>
          <w:spacing w:val="3"/>
        </w:rPr>
        <w:t xml:space="preserve">5 </w:t>
      </w:r>
      <w:r>
        <w:rPr>
          <w:spacing w:val="-2"/>
        </w:rPr>
        <w:t xml:space="preserve">岁以下儿童死亡率分别控制在 </w:t>
      </w:r>
      <w:r>
        <w:rPr>
          <w:rFonts w:ascii="Times New Roman" w:hAnsi="Times New Roman" w:eastAsia="Times New Roman"/>
        </w:rPr>
        <w:t>9.5‰</w:t>
      </w:r>
      <w:r>
        <w:rPr>
          <w:spacing w:val="4"/>
        </w:rPr>
        <w:t>及以下和</w:t>
      </w:r>
      <w:r>
        <w:rPr>
          <w:rFonts w:ascii="Times New Roman" w:hAnsi="Times New Roman" w:eastAsia="Times New Roman"/>
          <w:spacing w:val="3"/>
        </w:rPr>
        <w:t>6‰</w:t>
      </w:r>
      <w:r>
        <w:rPr>
          <w:spacing w:val="1"/>
        </w:rPr>
        <w:t xml:space="preserve">及以下；孕产妇死亡率分别下降到 </w:t>
      </w:r>
      <w:r>
        <w:rPr>
          <w:rFonts w:ascii="Times New Roman" w:hAnsi="Times New Roman" w:eastAsia="Times New Roman"/>
        </w:rPr>
        <w:t xml:space="preserve">18/10 </w:t>
      </w:r>
      <w:r>
        <w:rPr>
          <w:spacing w:val="-8"/>
        </w:rPr>
        <w:t xml:space="preserve">万及以下和 </w:t>
      </w:r>
      <w:r>
        <w:rPr>
          <w:rFonts w:ascii="Times New Roman" w:hAnsi="Times New Roman" w:eastAsia="Times New Roman"/>
        </w:rPr>
        <w:t xml:space="preserve">12/10 </w:t>
      </w:r>
      <w:r>
        <w:rPr>
          <w:spacing w:val="-6"/>
        </w:rPr>
        <w:t xml:space="preserve">万及以下；产前筛查率分别达到 </w:t>
      </w:r>
      <w:r>
        <w:rPr>
          <w:rFonts w:ascii="Times New Roman" w:hAnsi="Times New Roman" w:eastAsia="Times New Roman"/>
        </w:rPr>
        <w:t>70%</w:t>
      </w:r>
      <w:r>
        <w:rPr>
          <w:spacing w:val="-14"/>
        </w:rPr>
        <w:t xml:space="preserve">及以上和 </w:t>
      </w:r>
      <w:r>
        <w:rPr>
          <w:rFonts w:ascii="Times New Roman" w:hAnsi="Times New Roman" w:eastAsia="Times New Roman"/>
        </w:rPr>
        <w:t>80%</w:t>
      </w:r>
      <w:r>
        <w:rPr>
          <w:spacing w:val="1"/>
        </w:rPr>
        <w:t>及以上；新</w:t>
      </w:r>
      <w:r>
        <w:rPr>
          <w:spacing w:val="-3"/>
        </w:rPr>
        <w:t xml:space="preserve">生儿遗传代谢性疾病筛查率达到 </w:t>
      </w:r>
      <w:r>
        <w:rPr>
          <w:rFonts w:ascii="Times New Roman" w:hAnsi="Times New Roman" w:eastAsia="Times New Roman"/>
        </w:rPr>
        <w:t>98%</w:t>
      </w:r>
      <w:r>
        <w:rPr>
          <w:spacing w:val="3"/>
        </w:rPr>
        <w:t>及以上；新生儿听力筛查</w:t>
      </w:r>
      <w:r>
        <w:rPr>
          <w:spacing w:val="-23"/>
        </w:rPr>
        <w:t xml:space="preserve">率达到 </w:t>
      </w:r>
      <w:r>
        <w:rPr>
          <w:rFonts w:ascii="Times New Roman" w:hAnsi="Times New Roman" w:eastAsia="Times New Roman"/>
          <w:spacing w:val="2"/>
        </w:rPr>
        <w:t>90%</w:t>
      </w:r>
      <w:r>
        <w:rPr>
          <w:spacing w:val="3"/>
        </w:rPr>
        <w:t>及以上；先天性心脏病、唐氏综合征、耳聋、神经</w:t>
      </w:r>
      <w:r>
        <w:rPr>
          <w:spacing w:val="-9"/>
        </w:rPr>
        <w:t>管缺陷、地中海贫血等严重出生缺陷得到有效控制；</w:t>
      </w:r>
      <w:r>
        <w:rPr>
          <w:rFonts w:ascii="Times New Roman" w:hAnsi="Times New Roman" w:eastAsia="Times New Roman"/>
          <w:spacing w:val="-29"/>
        </w:rPr>
        <w:t xml:space="preserve">7 </w:t>
      </w:r>
      <w:r>
        <w:t>岁以下儿</w:t>
      </w:r>
      <w:r>
        <w:rPr>
          <w:spacing w:val="-7"/>
        </w:rPr>
        <w:t xml:space="preserve">童健康管理率分别达到 </w:t>
      </w:r>
      <w:r>
        <w:rPr>
          <w:rFonts w:ascii="Times New Roman" w:hAnsi="Times New Roman" w:eastAsia="Times New Roman"/>
        </w:rPr>
        <w:t>85%</w:t>
      </w:r>
      <w:r>
        <w:rPr>
          <w:spacing w:val="-19"/>
        </w:rPr>
        <w:t xml:space="preserve">以上和 </w:t>
      </w:r>
      <w:r>
        <w:rPr>
          <w:rFonts w:ascii="Times New Roman" w:hAnsi="Times New Roman" w:eastAsia="Times New Roman"/>
        </w:rPr>
        <w:t>90%</w:t>
      </w:r>
      <w:r>
        <w:t>以上；农村适龄妇女宫</w:t>
      </w:r>
    </w:p>
    <w:p>
      <w:pPr>
        <w:spacing w:after="0" w:line="350" w:lineRule="auto"/>
        <w:jc w:val="both"/>
        <w:sectPr>
          <w:pgSz w:w="11910" w:h="16840"/>
          <w:pgMar w:top="1540" w:right="1140" w:bottom="1380" w:left="1400" w:header="0" w:footer="1200" w:gutter="0"/>
        </w:sectPr>
      </w:pPr>
    </w:p>
    <w:p>
      <w:pPr>
        <w:pStyle w:val="3"/>
        <w:ind w:right="0" w:firstLine="0"/>
        <w:jc w:val="both"/>
        <w:rPr>
          <w:rFonts w:ascii="Times New Roman" w:hAnsi="Times New Roman" w:eastAsia="Times New Roman"/>
        </w:rPr>
      </w:pPr>
      <w:r>
        <w:t xml:space="preserve">颈癌和乳腺癌（以下简称“两癌”）筛查覆盖率分别达到 </w:t>
      </w:r>
      <w:r>
        <w:rPr>
          <w:rFonts w:ascii="Times New Roman" w:hAnsi="Times New Roman" w:eastAsia="Times New Roman"/>
        </w:rPr>
        <w:t>80%</w:t>
      </w:r>
    </w:p>
    <w:p>
      <w:pPr>
        <w:pStyle w:val="3"/>
        <w:spacing w:before="190"/>
        <w:ind w:right="0" w:firstLine="0"/>
        <w:jc w:val="both"/>
      </w:pPr>
      <w:r>
        <w:t xml:space="preserve">及以上和 </w:t>
      </w:r>
      <w:r>
        <w:rPr>
          <w:rFonts w:ascii="Times New Roman" w:eastAsia="Times New Roman"/>
        </w:rPr>
        <w:t>90%</w:t>
      </w:r>
      <w:r>
        <w:t>及以上。</w:t>
      </w:r>
    </w:p>
    <w:p>
      <w:pPr>
        <w:pStyle w:val="3"/>
        <w:spacing w:before="190" w:line="350" w:lineRule="auto"/>
        <w:jc w:val="both"/>
      </w:pPr>
      <w:r>
        <w:rPr>
          <w:spacing w:val="4"/>
          <w:w w:val="95"/>
        </w:rPr>
        <w:t xml:space="preserve">提倡适龄人群主动学习掌握出生缺陷防治和儿童早期发展 </w:t>
      </w:r>
      <w:r>
        <w:rPr>
          <w:spacing w:val="-4"/>
        </w:rPr>
        <w:t xml:space="preserve">知识；主动接受婚前医学检查和孕前优生健康检查；倡导 </w:t>
      </w:r>
      <w:r>
        <w:rPr>
          <w:rFonts w:ascii="Times New Roman" w:eastAsia="Times New Roman"/>
        </w:rPr>
        <w:t>0</w:t>
      </w:r>
      <w:r>
        <w:t>～</w:t>
      </w:r>
      <w:r>
        <w:rPr>
          <w:rFonts w:ascii="Times New Roman" w:eastAsia="Times New Roman"/>
        </w:rPr>
        <w:t xml:space="preserve">6 </w:t>
      </w:r>
      <w:r>
        <w:rPr>
          <w:spacing w:val="-7"/>
        </w:rPr>
        <w:t xml:space="preserve">个月婴儿纯母乳喂养，为 </w:t>
      </w:r>
      <w:r>
        <w:rPr>
          <w:rFonts w:ascii="Times New Roman" w:eastAsia="Times New Roman"/>
        </w:rPr>
        <w:t>6</w:t>
      </w:r>
      <w:r>
        <w:rPr>
          <w:rFonts w:ascii="Times New Roman" w:eastAsia="Times New Roman"/>
          <w:spacing w:val="-3"/>
        </w:rPr>
        <w:t xml:space="preserve"> </w:t>
      </w:r>
      <w:r>
        <w:t>个月以上婴儿适时合理添加辅食。</w:t>
      </w:r>
    </w:p>
    <w:p>
      <w:pPr>
        <w:pStyle w:val="2"/>
        <w:spacing w:before="4"/>
        <w:rPr>
          <w:rFonts w:hint="eastAsia" w:ascii="仿宋" w:hAnsi="仿宋" w:eastAsia="仿宋"/>
        </w:rPr>
      </w:pPr>
      <w:bookmarkStart w:id="45" w:name="——个人和家庭："/>
      <w:bookmarkEnd w:id="45"/>
      <w:r>
        <w:rPr>
          <w:rFonts w:ascii="Times New Roman" w:hAnsi="Times New Roman" w:eastAsia="Times New Roman"/>
        </w:rPr>
        <w:t>——</w:t>
      </w:r>
      <w:r>
        <w:rPr>
          <w:rFonts w:hint="eastAsia" w:ascii="仿宋" w:hAnsi="仿宋" w:eastAsia="仿宋"/>
        </w:rPr>
        <w:t>个人和家庭：</w:t>
      </w:r>
    </w:p>
    <w:p>
      <w:pPr>
        <w:pStyle w:val="10"/>
        <w:numPr>
          <w:ilvl w:val="0"/>
          <w:numId w:val="18"/>
        </w:numPr>
        <w:tabs>
          <w:tab w:val="left" w:pos="1052"/>
        </w:tabs>
        <w:spacing w:before="190" w:after="0" w:line="350" w:lineRule="auto"/>
        <w:ind w:left="171" w:right="270" w:firstLine="638"/>
        <w:jc w:val="left"/>
        <w:rPr>
          <w:sz w:val="32"/>
        </w:rPr>
      </w:pPr>
      <w:r>
        <w:rPr>
          <w:spacing w:val="-12"/>
          <w:sz w:val="32"/>
        </w:rPr>
        <w:t>积极准备，孕育健康新生命。主动了解妇幼保健和出生缺</w:t>
      </w:r>
      <w:r>
        <w:rPr>
          <w:spacing w:val="-10"/>
          <w:w w:val="95"/>
          <w:sz w:val="32"/>
        </w:rPr>
        <w:t xml:space="preserve">陷防治知识，充分认识怀孕和分娩是人类繁衍的正常生理过程， </w:t>
      </w:r>
      <w:r>
        <w:rPr>
          <w:spacing w:val="4"/>
          <w:sz w:val="32"/>
        </w:rPr>
        <w:t>建议做到有计划、有准备。积极参加婚前、孕前健康检查，选</w:t>
      </w:r>
      <w:r>
        <w:rPr>
          <w:spacing w:val="-4"/>
          <w:sz w:val="32"/>
        </w:rPr>
        <w:t xml:space="preserve">择最佳的生育年龄，孕前 </w:t>
      </w:r>
      <w:r>
        <w:rPr>
          <w:rFonts w:ascii="Times New Roman" w:eastAsia="Times New Roman"/>
          <w:sz w:val="32"/>
        </w:rPr>
        <w:t>3</w:t>
      </w:r>
      <w:r>
        <w:rPr>
          <w:rFonts w:ascii="Times New Roman" w:eastAsia="Times New Roman"/>
          <w:spacing w:val="1"/>
          <w:sz w:val="32"/>
        </w:rPr>
        <w:t xml:space="preserve"> </w:t>
      </w:r>
      <w:r>
        <w:rPr>
          <w:spacing w:val="-10"/>
          <w:sz w:val="32"/>
        </w:rPr>
        <w:t xml:space="preserve">个月至孕后 </w:t>
      </w:r>
      <w:r>
        <w:rPr>
          <w:rFonts w:ascii="Times New Roman" w:eastAsia="Times New Roman"/>
          <w:sz w:val="32"/>
        </w:rPr>
        <w:t xml:space="preserve">3 </w:t>
      </w:r>
      <w:r>
        <w:rPr>
          <w:spacing w:val="4"/>
          <w:sz w:val="32"/>
        </w:rPr>
        <w:t>个月补充叶酸。预防感染、戒烟戒酒、避免接触有毒有害物质和放射线。</w:t>
      </w:r>
    </w:p>
    <w:p>
      <w:pPr>
        <w:pStyle w:val="10"/>
        <w:numPr>
          <w:ilvl w:val="0"/>
          <w:numId w:val="18"/>
        </w:numPr>
        <w:tabs>
          <w:tab w:val="left" w:pos="1052"/>
        </w:tabs>
        <w:spacing w:before="7" w:after="0" w:line="350" w:lineRule="auto"/>
        <w:ind w:left="171" w:right="270" w:firstLine="638"/>
        <w:jc w:val="both"/>
        <w:rPr>
          <w:sz w:val="32"/>
        </w:rPr>
      </w:pPr>
      <w:r>
        <w:rPr>
          <w:spacing w:val="-12"/>
          <w:sz w:val="32"/>
        </w:rPr>
        <w:t>定期产检，保障母婴安全。发现怀孕要尽早到医疗卫生机</w:t>
      </w:r>
      <w:r>
        <w:rPr>
          <w:spacing w:val="4"/>
          <w:sz w:val="32"/>
        </w:rPr>
        <w:t>构建档建册，进行妊娠风险筛查与评估，按照不同风险管理要求主动按时接受孕产期保健服务，掌握孕产期自我保健知识和</w:t>
      </w:r>
      <w:r>
        <w:rPr>
          <w:spacing w:val="-10"/>
          <w:sz w:val="32"/>
        </w:rPr>
        <w:t xml:space="preserve">技能。孕期至少接受 </w:t>
      </w:r>
      <w:r>
        <w:rPr>
          <w:rFonts w:ascii="Times New Roman" w:eastAsia="Times New Roman"/>
          <w:sz w:val="32"/>
        </w:rPr>
        <w:t>5</w:t>
      </w:r>
      <w:r>
        <w:rPr>
          <w:rFonts w:ascii="Times New Roman" w:eastAsia="Times New Roman"/>
          <w:spacing w:val="-3"/>
          <w:sz w:val="32"/>
        </w:rPr>
        <w:t xml:space="preserve"> </w:t>
      </w:r>
      <w:r>
        <w:rPr>
          <w:spacing w:val="-2"/>
          <w:sz w:val="32"/>
        </w:rPr>
        <w:t>次产前检查</w:t>
      </w:r>
      <w:r>
        <w:rPr>
          <w:sz w:val="32"/>
        </w:rPr>
        <w:t>（</w:t>
      </w:r>
      <w:r>
        <w:rPr>
          <w:spacing w:val="-21"/>
          <w:sz w:val="32"/>
        </w:rPr>
        <w:t xml:space="preserve">孕早期 </w:t>
      </w:r>
      <w:r>
        <w:rPr>
          <w:rFonts w:ascii="Times New Roman" w:eastAsia="Times New Roman"/>
          <w:sz w:val="32"/>
        </w:rPr>
        <w:t>1</w:t>
      </w:r>
      <w:r>
        <w:rPr>
          <w:rFonts w:ascii="Times New Roman" w:eastAsia="Times New Roman"/>
          <w:spacing w:val="-3"/>
          <w:sz w:val="32"/>
        </w:rPr>
        <w:t xml:space="preserve"> </w:t>
      </w:r>
      <w:r>
        <w:rPr>
          <w:spacing w:val="-17"/>
          <w:sz w:val="32"/>
        </w:rPr>
        <w:t xml:space="preserve">次，孕中期 </w:t>
      </w:r>
      <w:r>
        <w:rPr>
          <w:rFonts w:ascii="Times New Roman" w:eastAsia="Times New Roman"/>
          <w:sz w:val="32"/>
        </w:rPr>
        <w:t>2</w:t>
      </w:r>
      <w:r>
        <w:rPr>
          <w:rFonts w:ascii="Times New Roman" w:eastAsia="Times New Roman"/>
          <w:spacing w:val="-2"/>
          <w:sz w:val="32"/>
        </w:rPr>
        <w:t xml:space="preserve"> </w:t>
      </w:r>
      <w:r>
        <w:rPr>
          <w:sz w:val="32"/>
        </w:rPr>
        <w:t>次，</w:t>
      </w:r>
    </w:p>
    <w:p>
      <w:pPr>
        <w:pStyle w:val="3"/>
        <w:spacing w:before="5" w:line="350" w:lineRule="auto"/>
        <w:ind w:firstLine="0"/>
        <w:jc w:val="both"/>
      </w:pPr>
      <w:r>
        <w:rPr>
          <w:spacing w:val="-20"/>
        </w:rPr>
        <w:t xml:space="preserve">孕晚期 </w:t>
      </w:r>
      <w:r>
        <w:rPr>
          <w:rFonts w:ascii="Times New Roman" w:eastAsia="Times New Roman"/>
        </w:rPr>
        <w:t>2</w:t>
      </w:r>
      <w:r>
        <w:rPr>
          <w:rFonts w:ascii="Times New Roman" w:eastAsia="Times New Roman"/>
          <w:spacing w:val="-6"/>
        </w:rPr>
        <w:t xml:space="preserve"> </w:t>
      </w:r>
      <w:r>
        <w:rPr>
          <w:spacing w:val="5"/>
        </w:rPr>
        <w:t>次</w:t>
      </w:r>
      <w:r>
        <w:rPr>
          <w:spacing w:val="6"/>
        </w:rPr>
        <w:t>）</w:t>
      </w:r>
      <w:r>
        <w:rPr>
          <w:spacing w:val="4"/>
        </w:rPr>
        <w:t xml:space="preserve">，有异常情况者建议遵医嘱适当增加检查次数， </w:t>
      </w:r>
      <w:r>
        <w:rPr>
          <w:spacing w:val="4"/>
          <w:w w:val="95"/>
        </w:rPr>
        <w:t xml:space="preserve">首次产前检查建议做艾滋病、梅毒和乙肝检查，定期接受产前 </w:t>
      </w:r>
      <w:r>
        <w:t>筛查。</w:t>
      </w:r>
      <w:r>
        <w:rPr>
          <w:rFonts w:ascii="Times New Roman" w:eastAsia="Times New Roman"/>
        </w:rPr>
        <w:t>35</w:t>
      </w:r>
      <w:r>
        <w:rPr>
          <w:rFonts w:ascii="Times New Roman" w:eastAsia="Times New Roman"/>
          <w:spacing w:val="17"/>
        </w:rPr>
        <w:t xml:space="preserve"> </w:t>
      </w:r>
      <w:r>
        <w:t>岁以上的孕妇属于高龄孕妇，高龄高危孕妇建议及时</w:t>
      </w:r>
      <w:r>
        <w:rPr>
          <w:spacing w:val="4"/>
          <w:w w:val="95"/>
        </w:rPr>
        <w:t>到有资质的医疗机构接受产前诊断服务。怀孕期间，如果出现 不适情况，建议立即去医疗卫生机构就诊。孕妇宜及时住院分 娩，提倡自然分娩，减少非医学需要的剖宫产。孕妇宜保证合 理膳食，均衡营养，维持合理体重。保持积极心态，放松心情</w:t>
      </w:r>
    </w:p>
    <w:p>
      <w:pPr>
        <w:spacing w:after="0" w:line="350" w:lineRule="auto"/>
        <w:jc w:val="both"/>
        <w:sectPr>
          <w:pgSz w:w="11910" w:h="16840"/>
          <w:pgMar w:top="1540" w:right="1140" w:bottom="1380" w:left="1400" w:header="0" w:footer="1200" w:gutter="0"/>
        </w:sectPr>
      </w:pPr>
    </w:p>
    <w:p>
      <w:pPr>
        <w:pStyle w:val="3"/>
        <w:spacing w:line="350" w:lineRule="auto"/>
        <w:ind w:firstLine="0"/>
        <w:jc w:val="both"/>
      </w:pPr>
      <w:r>
        <w:rPr>
          <w:spacing w:val="-2"/>
        </w:rPr>
        <w:t xml:space="preserve">有助于预防孕期和产后抑郁。产后 </w:t>
      </w:r>
      <w:r>
        <w:rPr>
          <w:rFonts w:ascii="Times New Roman" w:eastAsia="Times New Roman"/>
          <w:spacing w:val="4"/>
        </w:rPr>
        <w:t>3</w:t>
      </w:r>
      <w:r>
        <w:rPr>
          <w:spacing w:val="4"/>
        </w:rPr>
        <w:t>～</w:t>
      </w:r>
      <w:r>
        <w:rPr>
          <w:rFonts w:ascii="Times New Roman" w:eastAsia="Times New Roman"/>
          <w:spacing w:val="4"/>
        </w:rPr>
        <w:t xml:space="preserve">7 </w:t>
      </w:r>
      <w:r>
        <w:rPr>
          <w:spacing w:val="-26"/>
        </w:rPr>
        <w:t xml:space="preserve">天和 </w:t>
      </w:r>
      <w:r>
        <w:rPr>
          <w:rFonts w:ascii="Times New Roman" w:eastAsia="Times New Roman"/>
        </w:rPr>
        <w:t xml:space="preserve">42 </w:t>
      </w:r>
      <w:r>
        <w:rPr>
          <w:spacing w:val="2"/>
        </w:rPr>
        <w:t>天主动接受社</w:t>
      </w:r>
      <w:r>
        <w:t>区医生访视，并结合自身情况，选择合适的避孕措施。</w:t>
      </w:r>
    </w:p>
    <w:p>
      <w:pPr>
        <w:pStyle w:val="10"/>
        <w:numPr>
          <w:ilvl w:val="0"/>
          <w:numId w:val="18"/>
        </w:numPr>
        <w:tabs>
          <w:tab w:val="left" w:pos="1055"/>
        </w:tabs>
        <w:spacing w:before="3" w:after="0" w:line="350" w:lineRule="auto"/>
        <w:ind w:left="171" w:right="428" w:firstLine="640"/>
        <w:jc w:val="both"/>
        <w:rPr>
          <w:sz w:val="32"/>
        </w:rPr>
      </w:pPr>
      <w:r>
        <w:rPr>
          <w:spacing w:val="-12"/>
          <w:sz w:val="32"/>
        </w:rPr>
        <w:t>科学养育，促进儿童健康成长。强化儿童家长为儿童健康</w:t>
      </w:r>
      <w:r>
        <w:rPr>
          <w:spacing w:val="4"/>
          <w:w w:val="95"/>
          <w:sz w:val="32"/>
        </w:rPr>
        <w:t xml:space="preserve">第一责任人的理念，提高儿童家长健康素养。母乳是婴儿理想 </w:t>
      </w:r>
      <w:r>
        <w:rPr>
          <w:spacing w:val="-14"/>
          <w:sz w:val="32"/>
        </w:rPr>
        <w:t xml:space="preserve">的天然食物，孩子出生后尽早开始母乳喂养，尽量纯母乳喂养 </w:t>
      </w:r>
      <w:r>
        <w:rPr>
          <w:rFonts w:ascii="Times New Roman" w:eastAsia="Times New Roman"/>
          <w:sz w:val="32"/>
        </w:rPr>
        <w:t xml:space="preserve">6 </w:t>
      </w:r>
      <w:r>
        <w:rPr>
          <w:spacing w:val="-4"/>
          <w:sz w:val="32"/>
        </w:rPr>
        <w:t>个月，</w:t>
      </w:r>
      <w:r>
        <w:rPr>
          <w:rFonts w:ascii="Times New Roman" w:eastAsia="Times New Roman"/>
          <w:spacing w:val="-9"/>
          <w:sz w:val="32"/>
        </w:rPr>
        <w:t>6</w:t>
      </w:r>
      <w:r>
        <w:rPr>
          <w:rFonts w:ascii="Times New Roman" w:eastAsia="Times New Roman"/>
          <w:spacing w:val="-5"/>
          <w:sz w:val="32"/>
        </w:rPr>
        <w:t xml:space="preserve"> </w:t>
      </w:r>
      <w:r>
        <w:rPr>
          <w:spacing w:val="-1"/>
          <w:sz w:val="32"/>
        </w:rPr>
        <w:t>个月后逐渐给婴儿补充富含铁的泥糊状食物，</w:t>
      </w:r>
      <w:r>
        <w:rPr>
          <w:rFonts w:ascii="Times New Roman" w:eastAsia="Times New Roman"/>
          <w:spacing w:val="-9"/>
          <w:sz w:val="32"/>
        </w:rPr>
        <w:t>1</w:t>
      </w:r>
      <w:r>
        <w:rPr>
          <w:rFonts w:ascii="Times New Roman" w:eastAsia="Times New Roman"/>
          <w:spacing w:val="-5"/>
          <w:sz w:val="32"/>
        </w:rPr>
        <w:t xml:space="preserve"> </w:t>
      </w:r>
      <w:r>
        <w:rPr>
          <w:sz w:val="32"/>
        </w:rPr>
        <w:t>岁以下</w:t>
      </w:r>
      <w:r>
        <w:rPr>
          <w:spacing w:val="4"/>
          <w:w w:val="95"/>
          <w:sz w:val="32"/>
        </w:rPr>
        <w:t xml:space="preserve">婴儿不宜食用鲜奶。了解儿童发展特点，理性看待孩子间的差 异，尊重每个孩子自身的发展节奏和特点，理解并尊重孩子的 情绪和需求，为儿童提供安全、有益、有趣的成长环境。避免 儿童因压力过大、缺乏运动、缺乏社交等因素影响大脑发育， 妨碍心理成长。发现儿童心理行为问题，不要过于紧张或过分 忽视，建议及时向专业人员咨询、求助。避免儿童发生摔伤、 </w:t>
      </w:r>
      <w:r>
        <w:rPr>
          <w:sz w:val="32"/>
        </w:rPr>
        <w:t>烧烫伤、窒息、中毒、触电、溺水、动物抓咬等意外伤害。</w:t>
      </w:r>
    </w:p>
    <w:p>
      <w:pPr>
        <w:pStyle w:val="10"/>
        <w:numPr>
          <w:ilvl w:val="0"/>
          <w:numId w:val="18"/>
        </w:numPr>
        <w:tabs>
          <w:tab w:val="left" w:pos="1052"/>
        </w:tabs>
        <w:spacing w:before="15" w:after="0" w:line="350" w:lineRule="auto"/>
        <w:ind w:left="171" w:right="429" w:firstLine="638"/>
        <w:jc w:val="both"/>
        <w:rPr>
          <w:sz w:val="32"/>
        </w:rPr>
      </w:pPr>
      <w:r>
        <w:rPr>
          <w:spacing w:val="-11"/>
          <w:sz w:val="32"/>
        </w:rPr>
        <w:t>加强保健，预防儿童疾病。做好儿童健康管理，按照免疫</w:t>
      </w:r>
      <w:r>
        <w:rPr>
          <w:spacing w:val="4"/>
          <w:w w:val="95"/>
          <w:sz w:val="32"/>
        </w:rPr>
        <w:t xml:space="preserve">规划程序进行预防接种。接受苯丙酮尿症、先天性甲状腺功能 减低症和听力障碍等新生儿疾病筛查和视力、听力、智力、肢 </w:t>
      </w:r>
      <w:r>
        <w:rPr>
          <w:spacing w:val="-8"/>
          <w:sz w:val="32"/>
        </w:rPr>
        <w:t xml:space="preserve">体残疾及孤独症筛查等 </w:t>
      </w:r>
      <w:r>
        <w:rPr>
          <w:rFonts w:ascii="Times New Roman" w:eastAsia="Times New Roman"/>
          <w:sz w:val="32"/>
        </w:rPr>
        <w:t>0</w:t>
      </w:r>
      <w:r>
        <w:rPr>
          <w:sz w:val="32"/>
        </w:rPr>
        <w:t>～</w:t>
      </w:r>
      <w:r>
        <w:rPr>
          <w:rFonts w:ascii="Times New Roman" w:eastAsia="Times New Roman"/>
          <w:sz w:val="32"/>
        </w:rPr>
        <w:t>6</w:t>
      </w:r>
      <w:r>
        <w:rPr>
          <w:rFonts w:ascii="Times New Roman" w:eastAsia="Times New Roman"/>
          <w:spacing w:val="-4"/>
          <w:sz w:val="32"/>
        </w:rPr>
        <w:t xml:space="preserve"> </w:t>
      </w:r>
      <w:r>
        <w:rPr>
          <w:spacing w:val="-5"/>
          <w:sz w:val="32"/>
        </w:rPr>
        <w:t>岁儿童残疾筛查，筛查阳性者需主</w:t>
      </w:r>
      <w:r>
        <w:rPr>
          <w:spacing w:val="-13"/>
          <w:sz w:val="32"/>
        </w:rPr>
        <w:t>动接受随访、确诊、治疗和干预。</w:t>
      </w:r>
      <w:r>
        <w:rPr>
          <w:rFonts w:ascii="Times New Roman" w:eastAsia="Times New Roman"/>
          <w:sz w:val="32"/>
        </w:rPr>
        <w:t>3</w:t>
      </w:r>
      <w:r>
        <w:rPr>
          <w:rFonts w:ascii="Times New Roman" w:eastAsia="Times New Roman"/>
          <w:spacing w:val="-10"/>
          <w:sz w:val="32"/>
        </w:rPr>
        <w:t xml:space="preserve"> </w:t>
      </w:r>
      <w:r>
        <w:rPr>
          <w:sz w:val="32"/>
        </w:rPr>
        <w:t>岁以下儿童应到乡镇卫生院</w:t>
      </w:r>
      <w:r>
        <w:rPr>
          <w:spacing w:val="-7"/>
          <w:sz w:val="32"/>
        </w:rPr>
        <w:t xml:space="preserve">或社区卫生服务中心接受 </w:t>
      </w:r>
      <w:r>
        <w:rPr>
          <w:rFonts w:ascii="Times New Roman" w:eastAsia="Times New Roman"/>
          <w:sz w:val="32"/>
        </w:rPr>
        <w:t>8</w:t>
      </w:r>
      <w:r>
        <w:rPr>
          <w:rFonts w:ascii="Times New Roman" w:eastAsia="Times New Roman"/>
          <w:spacing w:val="7"/>
          <w:sz w:val="32"/>
        </w:rPr>
        <w:t xml:space="preserve"> </w:t>
      </w:r>
      <w:r>
        <w:rPr>
          <w:sz w:val="32"/>
        </w:rPr>
        <w:t>次健康检查，</w:t>
      </w:r>
      <w:r>
        <w:rPr>
          <w:rFonts w:ascii="Times New Roman" w:eastAsia="Times New Roman"/>
          <w:sz w:val="32"/>
        </w:rPr>
        <w:t>4</w:t>
      </w:r>
      <w:r>
        <w:rPr>
          <w:sz w:val="32"/>
        </w:rPr>
        <w:t>～</w:t>
      </w:r>
      <w:r>
        <w:rPr>
          <w:rFonts w:ascii="Times New Roman" w:eastAsia="Times New Roman"/>
          <w:sz w:val="32"/>
        </w:rPr>
        <w:t>6</w:t>
      </w:r>
      <w:r>
        <w:rPr>
          <w:rFonts w:ascii="Times New Roman" w:eastAsia="Times New Roman"/>
          <w:spacing w:val="9"/>
          <w:sz w:val="32"/>
        </w:rPr>
        <w:t xml:space="preserve"> </w:t>
      </w:r>
      <w:r>
        <w:rPr>
          <w:sz w:val="32"/>
        </w:rPr>
        <w:t>岁儿童每年应接受一次健康检查。</w:t>
      </w:r>
    </w:p>
    <w:p>
      <w:pPr>
        <w:pStyle w:val="10"/>
        <w:numPr>
          <w:ilvl w:val="0"/>
          <w:numId w:val="18"/>
        </w:numPr>
        <w:tabs>
          <w:tab w:val="left" w:pos="1052"/>
        </w:tabs>
        <w:spacing w:before="10" w:after="0" w:line="350" w:lineRule="auto"/>
        <w:ind w:left="171" w:right="429" w:firstLine="638"/>
        <w:jc w:val="both"/>
        <w:rPr>
          <w:sz w:val="32"/>
        </w:rPr>
      </w:pPr>
      <w:r>
        <w:rPr>
          <w:spacing w:val="-12"/>
          <w:sz w:val="32"/>
        </w:rPr>
        <w:t>关爱女性，促进生殖健康。建议女性提高生殖健康意识和</w:t>
      </w:r>
      <w:r>
        <w:rPr>
          <w:spacing w:val="4"/>
          <w:w w:val="95"/>
          <w:sz w:val="32"/>
        </w:rPr>
        <w:t>能力，主动获取青春期、生育期、更年期和老年期保健相关知 识，注意经期卫生，熟悉生殖道感染、乳腺疾病和宫颈癌等妇</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jc w:val="both"/>
      </w:pPr>
      <w:r>
        <w:rPr>
          <w:spacing w:val="4"/>
          <w:w w:val="95"/>
        </w:rPr>
        <w:t xml:space="preserve">女常见疾病的症状和预防知识。建议家属加强对特殊时期妇女 的心理关怀。掌握避孕方法知情选择，知晓各种避孕方法，了 解自己使用的避孕方法的注意事项。认识到促进生殖健康对个 人、家庭和社会的影响，增强性道德、性健康、性安全意识， 拒绝不安全性行为，避免意外妊娠、过早生育以及性相关疾病 </w:t>
      </w:r>
      <w:r>
        <w:t>传播。</w:t>
      </w:r>
    </w:p>
    <w:p>
      <w:pPr>
        <w:pStyle w:val="2"/>
        <w:spacing w:before="8"/>
        <w:rPr>
          <w:rFonts w:hint="eastAsia" w:ascii="仿宋" w:hAnsi="仿宋" w:eastAsia="仿宋"/>
        </w:rPr>
      </w:pPr>
      <w:r>
        <w:rPr>
          <w:rFonts w:ascii="Times New Roman" w:hAnsi="Times New Roman" w:eastAsia="Times New Roman"/>
        </w:rPr>
        <w:t>——</w:t>
      </w:r>
      <w:r>
        <w:rPr>
          <w:rFonts w:hint="eastAsia" w:ascii="仿宋" w:hAnsi="仿宋" w:eastAsia="仿宋"/>
        </w:rPr>
        <w:t>社会和政府：</w:t>
      </w:r>
    </w:p>
    <w:p>
      <w:pPr>
        <w:pStyle w:val="10"/>
        <w:numPr>
          <w:ilvl w:val="0"/>
          <w:numId w:val="19"/>
        </w:numPr>
        <w:tabs>
          <w:tab w:val="left" w:pos="1052"/>
        </w:tabs>
        <w:spacing w:before="190" w:after="0" w:line="350" w:lineRule="auto"/>
        <w:ind w:left="171" w:right="270" w:firstLine="638"/>
        <w:jc w:val="left"/>
        <w:rPr>
          <w:sz w:val="32"/>
        </w:rPr>
      </w:pPr>
      <w:r>
        <w:rPr>
          <w:spacing w:val="-11"/>
          <w:sz w:val="32"/>
        </w:rPr>
        <w:t>完善妇幼健康服务体系，实施妇幼健康和计划生育服务保</w:t>
      </w:r>
      <w:r>
        <w:rPr>
          <w:spacing w:val="4"/>
          <w:sz w:val="32"/>
        </w:rPr>
        <w:t>障工程，以中西部和贫困地区为重点，加强妇幼保健机构基础</w:t>
      </w:r>
      <w:r>
        <w:rPr>
          <w:spacing w:val="-8"/>
          <w:sz w:val="32"/>
        </w:rPr>
        <w:t xml:space="preserve">设施建设，确保省、市、县三级均有 </w:t>
      </w:r>
      <w:r>
        <w:rPr>
          <w:rFonts w:ascii="Times New Roman" w:eastAsia="Times New Roman"/>
          <w:sz w:val="32"/>
        </w:rPr>
        <w:t>1</w:t>
      </w:r>
      <w:r>
        <w:rPr>
          <w:rFonts w:ascii="Times New Roman" w:eastAsia="Times New Roman"/>
          <w:spacing w:val="-6"/>
          <w:sz w:val="32"/>
        </w:rPr>
        <w:t xml:space="preserve"> </w:t>
      </w:r>
      <w:r>
        <w:rPr>
          <w:sz w:val="32"/>
        </w:rPr>
        <w:t>所标准化妇幼保健机构。</w:t>
      </w:r>
      <w:r>
        <w:rPr>
          <w:spacing w:val="-6"/>
          <w:sz w:val="32"/>
        </w:rPr>
        <w:t>加强儿科、产科、助产等急需紧缺人才培养，增强岗位吸引力。</w:t>
      </w:r>
    </w:p>
    <w:p>
      <w:pPr>
        <w:pStyle w:val="3"/>
        <w:spacing w:before="6" w:line="350" w:lineRule="auto"/>
        <w:ind w:firstLine="0"/>
        <w:rPr>
          <w:rFonts w:hint="eastAsia" w:ascii="楷体" w:eastAsia="楷体"/>
        </w:rPr>
      </w:pPr>
      <w:r>
        <w:rPr>
          <w:rFonts w:hint="eastAsia" w:ascii="楷体" w:eastAsia="楷体"/>
          <w:spacing w:val="5"/>
          <w:w w:val="95"/>
        </w:rPr>
        <w:t>（</w:t>
      </w:r>
      <w:r>
        <w:rPr>
          <w:rFonts w:hint="eastAsia" w:ascii="楷体" w:eastAsia="楷体"/>
          <w:spacing w:val="4"/>
          <w:w w:val="95"/>
        </w:rPr>
        <w:t xml:space="preserve">卫生健康委牵头，发展改革委、教育部、财政部、人力资源 </w:t>
      </w:r>
      <w:r>
        <w:rPr>
          <w:rFonts w:hint="eastAsia" w:ascii="楷体" w:eastAsia="楷体"/>
        </w:rPr>
        <w:t>社会保障部按职责分工负责）</w:t>
      </w:r>
    </w:p>
    <w:p>
      <w:pPr>
        <w:pStyle w:val="10"/>
        <w:numPr>
          <w:ilvl w:val="0"/>
          <w:numId w:val="19"/>
        </w:numPr>
        <w:tabs>
          <w:tab w:val="left" w:pos="1052"/>
        </w:tabs>
        <w:spacing w:before="2" w:after="0" w:line="350" w:lineRule="auto"/>
        <w:ind w:left="171" w:right="314" w:firstLine="638"/>
        <w:jc w:val="left"/>
        <w:rPr>
          <w:rFonts w:hint="eastAsia" w:ascii="楷体" w:eastAsia="楷体"/>
          <w:sz w:val="32"/>
        </w:rPr>
      </w:pPr>
      <w:r>
        <w:rPr>
          <w:sz w:val="32"/>
        </w:rPr>
        <w:t xml:space="preserve">加强婚前、孕前、孕产期、新生儿期和儿童期保健工作， </w:t>
      </w:r>
      <w:r>
        <w:rPr>
          <w:spacing w:val="4"/>
          <w:sz w:val="32"/>
        </w:rPr>
        <w:t>推广使用《母子健康手册》，为妇女儿童提供系统、规范的服务。健全出生缺陷防治网络，提高出生缺陷综合防治服务可及性。</w:t>
      </w:r>
      <w:r>
        <w:rPr>
          <w:rFonts w:hint="eastAsia" w:ascii="楷体" w:eastAsia="楷体"/>
          <w:spacing w:val="4"/>
          <w:sz w:val="32"/>
        </w:rPr>
        <w:t>（卫生健康委负责）</w:t>
      </w:r>
    </w:p>
    <w:p>
      <w:pPr>
        <w:pStyle w:val="10"/>
        <w:numPr>
          <w:ilvl w:val="0"/>
          <w:numId w:val="19"/>
        </w:numPr>
        <w:tabs>
          <w:tab w:val="left" w:pos="1052"/>
        </w:tabs>
        <w:spacing w:before="6" w:after="0" w:line="350" w:lineRule="auto"/>
        <w:ind w:left="171" w:right="429" w:firstLine="638"/>
        <w:jc w:val="both"/>
        <w:rPr>
          <w:rFonts w:hint="eastAsia" w:ascii="楷体" w:hAnsi="楷体" w:eastAsia="楷体"/>
          <w:sz w:val="32"/>
        </w:rPr>
      </w:pPr>
      <w:r>
        <w:rPr>
          <w:spacing w:val="-8"/>
          <w:w w:val="95"/>
          <w:sz w:val="32"/>
        </w:rPr>
        <w:t xml:space="preserve">大力普及妇幼健康科学知识，推广婚姻登记、婚前医学检 </w:t>
      </w:r>
      <w:r>
        <w:rPr>
          <w:spacing w:val="-8"/>
          <w:sz w:val="32"/>
        </w:rPr>
        <w:t>查和生育指导</w:t>
      </w:r>
      <w:r>
        <w:rPr>
          <w:rFonts w:ascii="Times New Roman" w:hAnsi="Times New Roman" w:eastAsia="Times New Roman"/>
          <w:spacing w:val="-8"/>
          <w:sz w:val="32"/>
        </w:rPr>
        <w:t>“</w:t>
      </w:r>
      <w:r>
        <w:rPr>
          <w:spacing w:val="-8"/>
          <w:sz w:val="32"/>
        </w:rPr>
        <w:t>一站式</w:t>
      </w:r>
      <w:r>
        <w:rPr>
          <w:rFonts w:ascii="Times New Roman" w:hAnsi="Times New Roman" w:eastAsia="Times New Roman"/>
          <w:spacing w:val="-8"/>
          <w:sz w:val="32"/>
        </w:rPr>
        <w:t>”</w:t>
      </w:r>
      <w:r>
        <w:rPr>
          <w:spacing w:val="-16"/>
          <w:sz w:val="32"/>
        </w:rPr>
        <w:t>服务模式。做好人工流产后避孕服务，规</w:t>
      </w:r>
      <w:r>
        <w:rPr>
          <w:spacing w:val="4"/>
          <w:w w:val="95"/>
          <w:sz w:val="32"/>
        </w:rPr>
        <w:t>范产后避孕服务，提高免费避孕药具发放服务可及性。加强女 职工劳动保护，避免准备怀孕和孕期、哺乳期妇女接触有毒有 害物质和放射线。推动建设孕妇休息室、母婴室等设施。</w:t>
      </w:r>
      <w:r>
        <w:rPr>
          <w:rFonts w:hint="eastAsia" w:ascii="楷体" w:hAnsi="楷体" w:eastAsia="楷体"/>
          <w:spacing w:val="5"/>
          <w:w w:val="95"/>
          <w:sz w:val="32"/>
        </w:rPr>
        <w:t>（</w:t>
      </w:r>
      <w:r>
        <w:rPr>
          <w:rFonts w:hint="eastAsia" w:ascii="楷体" w:hAnsi="楷体" w:eastAsia="楷体"/>
          <w:spacing w:val="-11"/>
          <w:w w:val="95"/>
          <w:sz w:val="32"/>
        </w:rPr>
        <w:t>卫</w:t>
      </w:r>
    </w:p>
    <w:p>
      <w:pPr>
        <w:spacing w:after="0" w:line="350" w:lineRule="auto"/>
        <w:jc w:val="both"/>
        <w:rPr>
          <w:rFonts w:hint="eastAsia" w:ascii="楷体" w:hAnsi="楷体" w:eastAsia="楷体"/>
          <w:sz w:val="32"/>
        </w:rPr>
        <w:sectPr>
          <w:pgSz w:w="11910" w:h="16840"/>
          <w:pgMar w:top="1540" w:right="1140" w:bottom="1380" w:left="1400" w:header="0" w:footer="1200" w:gutter="0"/>
        </w:sectPr>
      </w:pPr>
    </w:p>
    <w:p>
      <w:pPr>
        <w:pStyle w:val="3"/>
        <w:spacing w:line="350" w:lineRule="auto"/>
        <w:ind w:firstLine="0"/>
        <w:rPr>
          <w:rFonts w:hint="eastAsia" w:ascii="楷体" w:eastAsia="楷体"/>
        </w:rPr>
      </w:pPr>
      <w:r>
        <w:rPr>
          <w:rFonts w:hint="eastAsia" w:ascii="楷体" w:eastAsia="楷体"/>
          <w:spacing w:val="4"/>
          <w:w w:val="95"/>
        </w:rPr>
        <w:t xml:space="preserve">生健康委牵头，民政部、全国总工会、全国妇联按职责分工负 </w:t>
      </w:r>
      <w:r>
        <w:rPr>
          <w:rFonts w:hint="eastAsia" w:ascii="楷体" w:eastAsia="楷体"/>
        </w:rPr>
        <w:t>责）</w:t>
      </w:r>
    </w:p>
    <w:p>
      <w:pPr>
        <w:pStyle w:val="10"/>
        <w:numPr>
          <w:ilvl w:val="0"/>
          <w:numId w:val="19"/>
        </w:numPr>
        <w:tabs>
          <w:tab w:val="left" w:pos="1052"/>
        </w:tabs>
        <w:spacing w:before="3" w:after="0" w:line="350" w:lineRule="auto"/>
        <w:ind w:left="171" w:right="429" w:firstLine="638"/>
        <w:jc w:val="both"/>
        <w:rPr>
          <w:rFonts w:hint="eastAsia" w:ascii="楷体" w:eastAsia="楷体"/>
          <w:sz w:val="32"/>
        </w:rPr>
      </w:pPr>
      <w:r>
        <w:rPr>
          <w:spacing w:val="-6"/>
          <w:sz w:val="32"/>
        </w:rPr>
        <w:t>为拟生育家庭提供科学备孕及生育力评估指导、孕前优生</w:t>
      </w:r>
      <w:r>
        <w:rPr>
          <w:spacing w:val="4"/>
          <w:w w:val="95"/>
          <w:sz w:val="32"/>
        </w:rPr>
        <w:t xml:space="preserve">服务，为生育困难的夫妇提供不孕不育诊治，指导科学备孕。 落实国家免费孕前优生健康检查，推动城乡居民全覆盖。广泛 开展产前筛查，普及产前筛查适宜技术，规范应用高通量基因 </w:t>
      </w:r>
      <w:r>
        <w:rPr>
          <w:spacing w:val="-12"/>
          <w:sz w:val="32"/>
        </w:rPr>
        <w:t xml:space="preserve">测序等技术，逐步实现怀孕妇女孕 </w:t>
      </w:r>
      <w:r>
        <w:rPr>
          <w:rFonts w:ascii="Times New Roman" w:eastAsia="Times New Roman"/>
          <w:sz w:val="32"/>
        </w:rPr>
        <w:t>28</w:t>
      </w:r>
      <w:r>
        <w:rPr>
          <w:rFonts w:ascii="Times New Roman" w:eastAsia="Times New Roman"/>
          <w:spacing w:val="-5"/>
          <w:sz w:val="32"/>
        </w:rPr>
        <w:t xml:space="preserve"> </w:t>
      </w:r>
      <w:r>
        <w:rPr>
          <w:sz w:val="32"/>
        </w:rPr>
        <w:t>周前在自愿情况下至少接</w:t>
      </w:r>
      <w:r>
        <w:rPr>
          <w:spacing w:val="4"/>
          <w:w w:val="95"/>
          <w:sz w:val="32"/>
        </w:rPr>
        <w:t xml:space="preserve">受１次产前筛查。在高发省份深入开展地中海贫血防控项目， 逐步扩大覆盖范围。对确诊的先天性心脏病、唐氏综合征、神 经管缺陷、地中海贫血等严重出生缺陷病例，及时给予医学指 </w:t>
      </w:r>
      <w:r>
        <w:rPr>
          <w:sz w:val="32"/>
        </w:rPr>
        <w:t>导和建议。</w:t>
      </w:r>
      <w:r>
        <w:rPr>
          <w:rFonts w:hint="eastAsia" w:ascii="楷体" w:eastAsia="楷体"/>
          <w:sz w:val="32"/>
        </w:rPr>
        <w:t>（卫生健康委牵头，财政部按职责负责）</w:t>
      </w:r>
    </w:p>
    <w:p>
      <w:pPr>
        <w:pStyle w:val="10"/>
        <w:numPr>
          <w:ilvl w:val="0"/>
          <w:numId w:val="19"/>
        </w:numPr>
        <w:tabs>
          <w:tab w:val="left" w:pos="1052"/>
        </w:tabs>
        <w:spacing w:before="12" w:after="0" w:line="350" w:lineRule="auto"/>
        <w:ind w:left="171" w:right="314" w:firstLine="638"/>
        <w:jc w:val="left"/>
        <w:rPr>
          <w:rFonts w:hint="eastAsia" w:ascii="楷体" w:eastAsia="楷体"/>
          <w:sz w:val="32"/>
        </w:rPr>
      </w:pPr>
      <w:r>
        <w:rPr>
          <w:sz w:val="32"/>
        </w:rPr>
        <w:t>落实妊娠风险筛查评估、高危专案管理、危急重症救治、</w:t>
      </w:r>
      <w:r>
        <w:rPr>
          <w:spacing w:val="-2"/>
          <w:sz w:val="32"/>
        </w:rPr>
        <w:t xml:space="preserve">孕产妇死亡个案报告和约谈通报 </w:t>
      </w:r>
      <w:r>
        <w:rPr>
          <w:rFonts w:ascii="Times New Roman" w:eastAsia="Times New Roman"/>
          <w:sz w:val="32"/>
        </w:rPr>
        <w:t>5</w:t>
      </w:r>
      <w:r>
        <w:rPr>
          <w:rFonts w:ascii="Times New Roman" w:eastAsia="Times New Roman"/>
          <w:spacing w:val="-3"/>
          <w:sz w:val="32"/>
        </w:rPr>
        <w:t xml:space="preserve"> </w:t>
      </w:r>
      <w:r>
        <w:rPr>
          <w:spacing w:val="4"/>
          <w:sz w:val="32"/>
        </w:rPr>
        <w:t>项制度，加强危重孕产妇和新生儿救治保障能力建设，健全救治会诊、转诊等机制。孕产妇和新生儿按规定参加基本医疗保险、大病保险，并按规定享受相关待遇，符合条件的可享受医疗救助补助政策。对早产儿</w:t>
      </w:r>
      <w:r>
        <w:rPr>
          <w:spacing w:val="5"/>
          <w:sz w:val="32"/>
        </w:rPr>
        <w:t>进行专案管理，在贫困地区开展新生儿安全等项目。</w:t>
      </w:r>
      <w:r>
        <w:rPr>
          <w:rFonts w:hint="eastAsia" w:ascii="楷体" w:eastAsia="楷体"/>
          <w:spacing w:val="5"/>
          <w:sz w:val="32"/>
        </w:rPr>
        <w:t>（</w:t>
      </w:r>
      <w:r>
        <w:rPr>
          <w:rFonts w:hint="eastAsia" w:ascii="楷体" w:eastAsia="楷体"/>
          <w:spacing w:val="4"/>
          <w:sz w:val="32"/>
        </w:rPr>
        <w:t>卫生健康委牵头，发展改革委、财政部、医保局按职责分工负责）</w:t>
      </w:r>
    </w:p>
    <w:p>
      <w:pPr>
        <w:pStyle w:val="10"/>
        <w:numPr>
          <w:ilvl w:val="0"/>
          <w:numId w:val="19"/>
        </w:numPr>
        <w:tabs>
          <w:tab w:val="left" w:pos="1052"/>
        </w:tabs>
        <w:spacing w:before="10" w:after="0" w:line="350" w:lineRule="auto"/>
        <w:ind w:left="171" w:right="429" w:firstLine="638"/>
        <w:jc w:val="both"/>
        <w:rPr>
          <w:sz w:val="32"/>
        </w:rPr>
      </w:pPr>
      <w:r>
        <w:rPr>
          <w:spacing w:val="-8"/>
          <w:sz w:val="32"/>
        </w:rPr>
        <w:t>全面开展新生儿疾病筛查，加强筛查阳性病例的随访、确</w:t>
      </w:r>
      <w:r>
        <w:rPr>
          <w:spacing w:val="4"/>
          <w:w w:val="95"/>
          <w:sz w:val="32"/>
        </w:rPr>
        <w:t>诊、治疗和干预，提高确诊病例治疗率，逐步扩大新生儿疾病 筛查病种范围。继续开展先天性结构畸形和遗传代谢病救助项 目，聚焦严重多发、可筛可治、技术成熟、预后良好、费用可 控的出生缺陷重点病种，开展筛查、诊断、治疗和贫困救助全</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jc w:val="both"/>
        <w:rPr>
          <w:rFonts w:hint="eastAsia" w:ascii="楷体" w:eastAsia="楷体"/>
        </w:rPr>
      </w:pPr>
      <w:r>
        <w:rPr>
          <w:spacing w:val="4"/>
          <w:w w:val="95"/>
        </w:rPr>
        <w:t>程服务试点。建立新生儿及儿童致残性疾病和出生缺陷筛查、 诊断、干预一体化工作机制。</w:t>
      </w:r>
      <w:r>
        <w:rPr>
          <w:rFonts w:hint="eastAsia" w:ascii="楷体" w:eastAsia="楷体"/>
          <w:spacing w:val="5"/>
          <w:w w:val="95"/>
        </w:rPr>
        <w:t>（</w:t>
      </w:r>
      <w:r>
        <w:rPr>
          <w:rFonts w:hint="eastAsia" w:ascii="楷体" w:eastAsia="楷体"/>
          <w:spacing w:val="3"/>
          <w:w w:val="95"/>
        </w:rPr>
        <w:t xml:space="preserve">卫生健康委牵头，财政部、中 </w:t>
      </w:r>
      <w:r>
        <w:rPr>
          <w:rFonts w:hint="eastAsia" w:ascii="楷体" w:eastAsia="楷体"/>
        </w:rPr>
        <w:t>国残联按职责分工负责）</w:t>
      </w:r>
    </w:p>
    <w:p>
      <w:pPr>
        <w:pStyle w:val="10"/>
        <w:numPr>
          <w:ilvl w:val="0"/>
          <w:numId w:val="19"/>
        </w:numPr>
        <w:tabs>
          <w:tab w:val="left" w:pos="1053"/>
        </w:tabs>
        <w:spacing w:before="4" w:after="0" w:line="350" w:lineRule="auto"/>
        <w:ind w:left="171" w:right="270" w:firstLine="638"/>
        <w:jc w:val="left"/>
        <w:rPr>
          <w:rFonts w:hint="eastAsia" w:ascii="楷体" w:eastAsia="楷体"/>
          <w:sz w:val="32"/>
        </w:rPr>
      </w:pPr>
      <w:r>
        <w:rPr>
          <w:spacing w:val="-25"/>
          <w:sz w:val="32"/>
        </w:rPr>
        <w:t xml:space="preserve">做实 </w:t>
      </w:r>
      <w:r>
        <w:rPr>
          <w:rFonts w:ascii="Times New Roman" w:eastAsia="Times New Roman"/>
          <w:sz w:val="32"/>
        </w:rPr>
        <w:t>0</w:t>
      </w:r>
      <w:r>
        <w:rPr>
          <w:sz w:val="32"/>
        </w:rPr>
        <w:t>～</w:t>
      </w:r>
      <w:r>
        <w:rPr>
          <w:rFonts w:ascii="Times New Roman" w:eastAsia="Times New Roman"/>
          <w:sz w:val="32"/>
        </w:rPr>
        <w:t>6</w:t>
      </w:r>
      <w:r>
        <w:rPr>
          <w:rFonts w:ascii="Times New Roman" w:eastAsia="Times New Roman"/>
          <w:spacing w:val="4"/>
          <w:sz w:val="32"/>
        </w:rPr>
        <w:t xml:space="preserve"> </w:t>
      </w:r>
      <w:r>
        <w:rPr>
          <w:sz w:val="32"/>
        </w:rPr>
        <w:t>岁儿童健康管理，规范开展新生儿访视，指导</w:t>
      </w:r>
      <w:r>
        <w:rPr>
          <w:spacing w:val="-3"/>
          <w:sz w:val="32"/>
        </w:rPr>
        <w:t xml:space="preserve">家长做好新生儿喂养、护理和疾病预防。实施婴幼儿喂养策略， </w:t>
      </w:r>
      <w:r>
        <w:rPr>
          <w:spacing w:val="4"/>
          <w:sz w:val="32"/>
        </w:rPr>
        <w:t>创新爱婴医院管理，将贫困地区儿童营养改善项目覆盖到所有贫困县。引导儿童科学均衡饮食，加强体育锻炼，实现儿童肥胖综合预防和干预。加强托幼机构卫生保健业务指导和监督工</w:t>
      </w:r>
      <w:r>
        <w:rPr>
          <w:spacing w:val="-7"/>
          <w:w w:val="95"/>
          <w:sz w:val="32"/>
        </w:rPr>
        <w:t>作。</w:t>
      </w:r>
      <w:r>
        <w:rPr>
          <w:rFonts w:hint="eastAsia" w:ascii="楷体" w:eastAsia="楷体"/>
          <w:w w:val="95"/>
          <w:sz w:val="32"/>
        </w:rPr>
        <w:t>（</w:t>
      </w:r>
      <w:r>
        <w:rPr>
          <w:rFonts w:hint="eastAsia" w:ascii="楷体" w:eastAsia="楷体"/>
          <w:spacing w:val="-2"/>
          <w:w w:val="95"/>
          <w:sz w:val="32"/>
        </w:rPr>
        <w:t>卫生健康委牵头，发展改革委、教育部按职责分工负责</w:t>
      </w:r>
      <w:r>
        <w:rPr>
          <w:rFonts w:hint="eastAsia" w:ascii="楷体" w:eastAsia="楷体"/>
          <w:w w:val="95"/>
          <w:sz w:val="32"/>
        </w:rPr>
        <w:t>）</w:t>
      </w:r>
    </w:p>
    <w:p>
      <w:pPr>
        <w:pStyle w:val="10"/>
        <w:numPr>
          <w:ilvl w:val="0"/>
          <w:numId w:val="19"/>
        </w:numPr>
        <w:tabs>
          <w:tab w:val="left" w:pos="1052"/>
        </w:tabs>
        <w:spacing w:before="8" w:after="0" w:line="350" w:lineRule="auto"/>
        <w:ind w:left="171" w:right="108" w:firstLine="638"/>
        <w:jc w:val="left"/>
        <w:rPr>
          <w:rFonts w:hint="eastAsia" w:ascii="楷体" w:eastAsia="楷体"/>
          <w:sz w:val="32"/>
        </w:rPr>
      </w:pPr>
      <w:r>
        <w:rPr>
          <w:spacing w:val="-11"/>
          <w:sz w:val="32"/>
        </w:rPr>
        <w:t xml:space="preserve">加强儿童早期发展服务，结合实施基本公共卫生服务项目， </w:t>
      </w:r>
      <w:r>
        <w:rPr>
          <w:spacing w:val="4"/>
          <w:sz w:val="32"/>
        </w:rPr>
        <w:t>推动儿童早期发展均等化，促进儿童早期发展服务进农村、进</w:t>
      </w:r>
      <w:r>
        <w:rPr>
          <w:spacing w:val="-5"/>
          <w:sz w:val="32"/>
        </w:rPr>
        <w:t>社区、进家庭，探索适宜农村儿童早期发展的服务内容和模式。</w:t>
      </w:r>
      <w:r>
        <w:rPr>
          <w:spacing w:val="4"/>
          <w:sz w:val="32"/>
        </w:rPr>
        <w:t>提高婴幼儿照护的可及性。完善残疾儿童康复救助制度。加强残疾人专业康复机构、康复医疗机构和基层医疗康复设施、人</w:t>
      </w:r>
      <w:r>
        <w:rPr>
          <w:spacing w:val="-12"/>
          <w:sz w:val="32"/>
        </w:rPr>
        <w:t>才队伍建设，健全衔接协作机制，不断提高康复保障水平。</w:t>
      </w:r>
      <w:r>
        <w:rPr>
          <w:rFonts w:hint="eastAsia" w:ascii="楷体" w:eastAsia="楷体"/>
          <w:sz w:val="32"/>
        </w:rPr>
        <w:t>（卫</w:t>
      </w:r>
      <w:r>
        <w:rPr>
          <w:rFonts w:hint="eastAsia" w:ascii="楷体" w:eastAsia="楷体"/>
          <w:spacing w:val="4"/>
          <w:sz w:val="32"/>
        </w:rPr>
        <w:t>生健康委牵头，发展改革委、教育部、财政部、全国妇联、中国残联按职责分工负责）</w:t>
      </w:r>
    </w:p>
    <w:p>
      <w:pPr>
        <w:pStyle w:val="10"/>
        <w:numPr>
          <w:ilvl w:val="0"/>
          <w:numId w:val="19"/>
        </w:numPr>
        <w:tabs>
          <w:tab w:val="left" w:pos="1052"/>
        </w:tabs>
        <w:spacing w:before="11" w:after="0" w:line="350" w:lineRule="auto"/>
        <w:ind w:left="171" w:right="270" w:firstLine="638"/>
        <w:jc w:val="left"/>
        <w:rPr>
          <w:rFonts w:hint="eastAsia" w:ascii="楷体" w:hAnsi="楷体" w:eastAsia="楷体"/>
          <w:sz w:val="32"/>
        </w:rPr>
      </w:pPr>
      <w:r>
        <w:rPr>
          <w:spacing w:val="-9"/>
          <w:sz w:val="32"/>
        </w:rPr>
        <w:t>以贫困地区为重点，逐步扩大农村妇女</w:t>
      </w:r>
      <w:r>
        <w:rPr>
          <w:rFonts w:ascii="Times New Roman" w:hAnsi="Times New Roman" w:eastAsia="Times New Roman"/>
          <w:sz w:val="32"/>
        </w:rPr>
        <w:t>“</w:t>
      </w:r>
      <w:r>
        <w:rPr>
          <w:sz w:val="32"/>
        </w:rPr>
        <w:t>两癌</w:t>
      </w:r>
      <w:r>
        <w:rPr>
          <w:rFonts w:ascii="Times New Roman" w:hAnsi="Times New Roman" w:eastAsia="Times New Roman"/>
          <w:sz w:val="32"/>
        </w:rPr>
        <w:t>”</w:t>
      </w:r>
      <w:r>
        <w:rPr>
          <w:sz w:val="32"/>
        </w:rPr>
        <w:t>筛查项目覆</w:t>
      </w:r>
      <w:r>
        <w:rPr>
          <w:spacing w:val="4"/>
          <w:sz w:val="32"/>
        </w:rPr>
        <w:t>盖面，继续实施预防艾滋病、梅毒和乙肝母婴传播项目，尽快</w:t>
      </w:r>
      <w:r>
        <w:rPr>
          <w:spacing w:val="-4"/>
          <w:sz w:val="32"/>
        </w:rPr>
        <w:t>实现消除艾滋病母婴传播的目标。以肺炎、腹泻、贫血、哮喘、</w:t>
      </w:r>
      <w:r>
        <w:rPr>
          <w:spacing w:val="4"/>
          <w:sz w:val="32"/>
        </w:rPr>
        <w:t>龋齿、视力不良、心理行为问题等为重点，推广儿童疾病综合</w:t>
      </w:r>
      <w:r>
        <w:rPr>
          <w:spacing w:val="5"/>
          <w:sz w:val="32"/>
        </w:rPr>
        <w:t>管理适宜技术。</w:t>
      </w:r>
      <w:r>
        <w:rPr>
          <w:rFonts w:hint="eastAsia" w:ascii="楷体" w:hAnsi="楷体" w:eastAsia="楷体"/>
          <w:spacing w:val="5"/>
          <w:sz w:val="32"/>
        </w:rPr>
        <w:t>（</w:t>
      </w:r>
      <w:r>
        <w:rPr>
          <w:rFonts w:hint="eastAsia" w:ascii="楷体" w:hAnsi="楷体" w:eastAsia="楷体"/>
          <w:spacing w:val="4"/>
          <w:sz w:val="32"/>
        </w:rPr>
        <w:t>卫生健康委牵头，财政部、全国妇联按职责分工负责）</w:t>
      </w:r>
    </w:p>
    <w:p>
      <w:pPr>
        <w:spacing w:after="0" w:line="350" w:lineRule="auto"/>
        <w:jc w:val="left"/>
        <w:rPr>
          <w:rFonts w:hint="eastAsia" w:ascii="楷体" w:hAnsi="楷体" w:eastAsia="楷体"/>
          <w:sz w:val="32"/>
        </w:rPr>
        <w:sectPr>
          <w:footerReference r:id="rId9" w:type="default"/>
          <w:pgSz w:w="11910" w:h="16840"/>
          <w:pgMar w:top="1540" w:right="1140" w:bottom="1380" w:left="1400" w:header="0" w:footer="1200" w:gutter="0"/>
          <w:pgNumType w:start="60"/>
        </w:sectPr>
      </w:pPr>
    </w:p>
    <w:p>
      <w:pPr>
        <w:pStyle w:val="10"/>
        <w:numPr>
          <w:ilvl w:val="0"/>
          <w:numId w:val="19"/>
        </w:numPr>
        <w:tabs>
          <w:tab w:val="left" w:pos="1213"/>
        </w:tabs>
        <w:spacing w:before="43" w:after="0" w:line="350" w:lineRule="auto"/>
        <w:ind w:left="171" w:right="429" w:firstLine="638"/>
        <w:jc w:val="both"/>
        <w:rPr>
          <w:rFonts w:hint="eastAsia" w:ascii="楷体" w:eastAsia="楷体"/>
          <w:sz w:val="32"/>
        </w:rPr>
      </w:pPr>
      <w:r>
        <w:rPr>
          <w:sz w:val="32"/>
        </w:rPr>
        <w:t>在提供妇幼保健服务的医疗机构积极推广应用中医药适</w:t>
      </w:r>
      <w:r>
        <w:rPr>
          <w:spacing w:val="4"/>
          <w:w w:val="95"/>
          <w:sz w:val="32"/>
        </w:rPr>
        <w:t xml:space="preserve">宜技术和方法，开展中成药合理使用和培训。扩大中医药在孕 育调养、产后康复等方面应用。充分发挥中医药在儿童医疗保 健服务中的作用。加强妇女儿童疾病诊疗中西医临床协作，提 </w:t>
      </w:r>
      <w:r>
        <w:rPr>
          <w:spacing w:val="5"/>
          <w:w w:val="95"/>
          <w:sz w:val="32"/>
        </w:rPr>
        <w:t>高疑难病、急危重症诊疗水平。</w:t>
      </w:r>
      <w:r>
        <w:rPr>
          <w:rFonts w:hint="eastAsia" w:ascii="楷体" w:eastAsia="楷体"/>
          <w:spacing w:val="5"/>
          <w:w w:val="95"/>
          <w:sz w:val="32"/>
        </w:rPr>
        <w:t>（</w:t>
      </w:r>
      <w:r>
        <w:rPr>
          <w:rFonts w:hint="eastAsia" w:ascii="楷体" w:eastAsia="楷体"/>
          <w:spacing w:val="3"/>
          <w:w w:val="95"/>
          <w:sz w:val="32"/>
        </w:rPr>
        <w:t xml:space="preserve">中医药局牵头，卫生健康委 </w:t>
      </w:r>
      <w:r>
        <w:rPr>
          <w:rFonts w:hint="eastAsia" w:ascii="楷体" w:eastAsia="楷体"/>
          <w:sz w:val="32"/>
        </w:rPr>
        <w:t>按职责负责）</w:t>
      </w:r>
    </w:p>
    <w:p>
      <w:pPr>
        <w:pStyle w:val="2"/>
        <w:spacing w:before="8"/>
      </w:pPr>
      <w:bookmarkStart w:id="46" w:name="_TOC_250007"/>
      <w:bookmarkEnd w:id="46"/>
      <w:r>
        <w:t>（八）中小学健康促进行动。</w:t>
      </w:r>
    </w:p>
    <w:p>
      <w:pPr>
        <w:pStyle w:val="3"/>
        <w:spacing w:before="190" w:line="350" w:lineRule="auto"/>
        <w:ind w:right="266"/>
      </w:pPr>
      <w:r>
        <w:rPr>
          <w:spacing w:val="-3"/>
        </w:rPr>
        <w:t xml:space="preserve">中小学生处于成长发育的关键阶段。加强中小学健康促进， </w:t>
      </w:r>
      <w:r>
        <w:rPr>
          <w:spacing w:val="-8"/>
        </w:rPr>
        <w:t>增强青少年体质，是促进中小学生健康成长和全面发展的需要。</w:t>
      </w:r>
      <w:r>
        <w:rPr>
          <w:spacing w:val="-33"/>
        </w:rPr>
        <w:t xml:space="preserve">根据 </w:t>
      </w:r>
      <w:r>
        <w:rPr>
          <w:rFonts w:ascii="Times New Roman" w:eastAsia="Times New Roman"/>
        </w:rPr>
        <w:t>2014</w:t>
      </w:r>
      <w:r>
        <w:rPr>
          <w:rFonts w:ascii="Times New Roman" w:eastAsia="Times New Roman"/>
          <w:spacing w:val="-2"/>
        </w:rPr>
        <w:t xml:space="preserve"> </w:t>
      </w:r>
      <w:r>
        <w:rPr>
          <w:spacing w:val="-8"/>
        </w:rPr>
        <w:t xml:space="preserve">年中国学生体质与健康调研结果，我国 </w:t>
      </w:r>
      <w:r>
        <w:rPr>
          <w:rFonts w:ascii="Times New Roman" w:eastAsia="Times New Roman"/>
        </w:rPr>
        <w:t>7</w:t>
      </w:r>
      <w:r>
        <w:t>～</w:t>
      </w:r>
      <w:r>
        <w:rPr>
          <w:rFonts w:ascii="Times New Roman" w:eastAsia="Times New Roman"/>
        </w:rPr>
        <w:t>18</w:t>
      </w:r>
      <w:r>
        <w:rPr>
          <w:rFonts w:ascii="Times New Roman" w:eastAsia="Times New Roman"/>
          <w:spacing w:val="-4"/>
        </w:rPr>
        <w:t xml:space="preserve"> </w:t>
      </w:r>
      <w:r>
        <w:t>岁城市</w:t>
      </w:r>
      <w:r>
        <w:rPr>
          <w:spacing w:val="-6"/>
        </w:rPr>
        <w:t xml:space="preserve">男生和女生的肥胖检出率分别为 </w:t>
      </w:r>
      <w:r>
        <w:rPr>
          <w:rFonts w:ascii="Times New Roman" w:eastAsia="Times New Roman"/>
        </w:rPr>
        <w:t>11.1%</w:t>
      </w:r>
      <w:r>
        <w:rPr>
          <w:spacing w:val="-38"/>
        </w:rPr>
        <w:t xml:space="preserve">和 </w:t>
      </w:r>
      <w:r>
        <w:rPr>
          <w:rFonts w:ascii="Times New Roman" w:eastAsia="Times New Roman"/>
        </w:rPr>
        <w:t>5.8%</w:t>
      </w:r>
      <w:r>
        <w:t>，农村男生和女</w:t>
      </w:r>
      <w:r>
        <w:rPr>
          <w:spacing w:val="-2"/>
        </w:rPr>
        <w:t xml:space="preserve">生的肥胖检出率分别为 </w:t>
      </w:r>
      <w:r>
        <w:rPr>
          <w:rFonts w:ascii="Times New Roman" w:eastAsia="Times New Roman"/>
        </w:rPr>
        <w:t>7.7%</w:t>
      </w:r>
      <w:r>
        <w:rPr>
          <w:spacing w:val="-37"/>
        </w:rPr>
        <w:t xml:space="preserve">和 </w:t>
      </w:r>
      <w:r>
        <w:rPr>
          <w:rFonts w:ascii="Times New Roman" w:eastAsia="Times New Roman"/>
        </w:rPr>
        <w:t>4.5%</w:t>
      </w:r>
      <w:r>
        <w:rPr>
          <w:spacing w:val="9"/>
        </w:rPr>
        <w:t>。</w:t>
      </w:r>
      <w:r>
        <w:rPr>
          <w:rFonts w:ascii="Times New Roman" w:eastAsia="Times New Roman"/>
        </w:rPr>
        <w:t>2018</w:t>
      </w:r>
      <w:r>
        <w:rPr>
          <w:rFonts w:ascii="Times New Roman" w:eastAsia="Times New Roman"/>
          <w:spacing w:val="4"/>
        </w:rPr>
        <w:t xml:space="preserve"> </w:t>
      </w:r>
      <w:r>
        <w:rPr>
          <w:spacing w:val="6"/>
        </w:rPr>
        <w:t>年全国儿童青少年</w:t>
      </w:r>
      <w:r>
        <w:rPr>
          <w:w w:val="99"/>
        </w:rPr>
        <w:t>总体近视率为</w:t>
      </w:r>
      <w:r>
        <w:rPr>
          <w:spacing w:val="-81"/>
        </w:rPr>
        <w:t xml:space="preserve"> </w:t>
      </w:r>
      <w:r>
        <w:rPr>
          <w:rFonts w:ascii="Times New Roman" w:eastAsia="Times New Roman"/>
          <w:spacing w:val="1"/>
          <w:w w:val="99"/>
        </w:rPr>
        <w:t>53</w:t>
      </w:r>
      <w:r>
        <w:rPr>
          <w:rFonts w:ascii="Times New Roman" w:eastAsia="Times New Roman"/>
          <w:spacing w:val="-1"/>
          <w:w w:val="99"/>
        </w:rPr>
        <w:t>.</w:t>
      </w:r>
      <w:r>
        <w:rPr>
          <w:rFonts w:ascii="Times New Roman" w:eastAsia="Times New Roman"/>
          <w:spacing w:val="1"/>
          <w:w w:val="99"/>
        </w:rPr>
        <w:t>6</w:t>
      </w:r>
      <w:r>
        <w:rPr>
          <w:rFonts w:ascii="Times New Roman" w:eastAsia="Times New Roman"/>
          <w:spacing w:val="-2"/>
          <w:w w:val="99"/>
        </w:rPr>
        <w:t>%</w:t>
      </w:r>
      <w:r>
        <w:rPr>
          <w:spacing w:val="-72"/>
          <w:w w:val="99"/>
        </w:rPr>
        <w:t>。其中，</w:t>
      </w:r>
      <w:r>
        <w:rPr>
          <w:rFonts w:ascii="Times New Roman" w:eastAsia="Times New Roman"/>
          <w:w w:val="99"/>
        </w:rPr>
        <w:t>6</w:t>
      </w:r>
      <w:r>
        <w:rPr>
          <w:rFonts w:ascii="Times New Roman" w:eastAsia="Times New Roman"/>
        </w:rPr>
        <w:t xml:space="preserve"> </w:t>
      </w:r>
      <w:r>
        <w:rPr>
          <w:w w:val="99"/>
        </w:rPr>
        <w:t>岁儿童为</w:t>
      </w:r>
      <w:r>
        <w:rPr>
          <w:spacing w:val="-79"/>
        </w:rPr>
        <w:t xml:space="preserve"> </w:t>
      </w:r>
      <w:r>
        <w:rPr>
          <w:rFonts w:ascii="Times New Roman" w:eastAsia="Times New Roman"/>
          <w:spacing w:val="1"/>
          <w:w w:val="99"/>
        </w:rPr>
        <w:t>14</w:t>
      </w:r>
      <w:r>
        <w:rPr>
          <w:rFonts w:ascii="Times New Roman" w:eastAsia="Times New Roman"/>
          <w:spacing w:val="-1"/>
          <w:w w:val="99"/>
        </w:rPr>
        <w:t>.</w:t>
      </w:r>
      <w:r>
        <w:rPr>
          <w:rFonts w:ascii="Times New Roman" w:eastAsia="Times New Roman"/>
          <w:spacing w:val="1"/>
          <w:w w:val="99"/>
        </w:rPr>
        <w:t>5</w:t>
      </w:r>
      <w:r>
        <w:rPr>
          <w:rFonts w:ascii="Times New Roman" w:eastAsia="Times New Roman"/>
          <w:w w:val="99"/>
        </w:rPr>
        <w:t>%</w:t>
      </w:r>
      <w:r>
        <w:rPr>
          <w:spacing w:val="-29"/>
          <w:w w:val="99"/>
        </w:rPr>
        <w:t>，小学生为</w:t>
      </w:r>
      <w:r>
        <w:rPr>
          <w:spacing w:val="-79"/>
        </w:rPr>
        <w:t xml:space="preserve"> </w:t>
      </w:r>
      <w:r>
        <w:rPr>
          <w:rFonts w:ascii="Times New Roman" w:eastAsia="Times New Roman"/>
          <w:spacing w:val="1"/>
          <w:w w:val="99"/>
        </w:rPr>
        <w:t>3</w:t>
      </w:r>
      <w:r>
        <w:rPr>
          <w:rFonts w:ascii="Times New Roman" w:eastAsia="Times New Roman"/>
          <w:spacing w:val="-2"/>
          <w:w w:val="99"/>
        </w:rPr>
        <w:t>6</w:t>
      </w:r>
      <w:r>
        <w:rPr>
          <w:rFonts w:ascii="Times New Roman" w:eastAsia="Times New Roman"/>
          <w:spacing w:val="-1"/>
          <w:w w:val="99"/>
        </w:rPr>
        <w:t>.</w:t>
      </w:r>
      <w:r>
        <w:rPr>
          <w:rFonts w:ascii="Times New Roman" w:eastAsia="Times New Roman"/>
          <w:spacing w:val="1"/>
          <w:w w:val="99"/>
        </w:rPr>
        <w:t>0</w:t>
      </w:r>
      <w:r>
        <w:rPr>
          <w:rFonts w:ascii="Times New Roman" w:eastAsia="Times New Roman"/>
          <w:w w:val="99"/>
        </w:rPr>
        <w:t>%</w:t>
      </w:r>
      <w:r>
        <w:rPr>
          <w:w w:val="99"/>
        </w:rPr>
        <w:t>，</w:t>
      </w:r>
      <w:r>
        <w:rPr>
          <w:spacing w:val="-17"/>
        </w:rPr>
        <w:t xml:space="preserve">初中生为 </w:t>
      </w:r>
      <w:r>
        <w:rPr>
          <w:rFonts w:ascii="Times New Roman" w:eastAsia="Times New Roman"/>
          <w:spacing w:val="-5"/>
        </w:rPr>
        <w:t>71.6%</w:t>
      </w:r>
      <w:r>
        <w:rPr>
          <w:spacing w:val="-16"/>
        </w:rPr>
        <w:t xml:space="preserve">，高中生为 </w:t>
      </w:r>
      <w:r>
        <w:rPr>
          <w:rFonts w:ascii="Times New Roman" w:eastAsia="Times New Roman"/>
        </w:rPr>
        <w:t>81.0%</w:t>
      </w:r>
      <w:r>
        <w:rPr>
          <w:spacing w:val="-8"/>
        </w:rPr>
        <w:t>。中小学生肥胖、近视等健康问题突出。</w:t>
      </w:r>
    </w:p>
    <w:p>
      <w:pPr>
        <w:pStyle w:val="3"/>
        <w:spacing w:before="11" w:line="350" w:lineRule="auto"/>
        <w:ind w:right="270"/>
      </w:pPr>
      <w:r>
        <w:rPr>
          <w:spacing w:val="-5"/>
        </w:rPr>
        <w:t>此外，随着成长发育，中小学生自我意识逐渐增强，认知、</w:t>
      </w:r>
      <w:r>
        <w:rPr>
          <w:spacing w:val="4"/>
        </w:rPr>
        <w:t>情感、意志、个性发展逐渐成熟，人生观、世界观、价值观逐渐形成。因此，在此期间有效保护、积极促进其身心健康成长意义重大。</w:t>
      </w:r>
    </w:p>
    <w:p>
      <w:pPr>
        <w:pStyle w:val="3"/>
        <w:spacing w:before="6"/>
        <w:ind w:left="810" w:right="0" w:firstLine="0"/>
        <w:rPr>
          <w:rFonts w:hint="eastAsia" w:ascii="黑体" w:eastAsia="黑体"/>
        </w:rPr>
      </w:pPr>
      <w:bookmarkStart w:id="47" w:name="行动目标："/>
      <w:bookmarkEnd w:id="47"/>
      <w:r>
        <w:rPr>
          <w:rFonts w:hint="eastAsia" w:ascii="黑体" w:eastAsia="黑体"/>
        </w:rPr>
        <w:t>行动目标：</w:t>
      </w:r>
    </w:p>
    <w:p>
      <w:pPr>
        <w:pStyle w:val="3"/>
        <w:spacing w:before="190" w:line="350" w:lineRule="auto"/>
        <w:jc w:val="both"/>
      </w:pPr>
      <w:bookmarkStart w:id="48" w:name="到2022年和2030年，国家学生体质健康标准达标优良率分别达到50%及以上和6"/>
      <w:bookmarkEnd w:id="48"/>
      <w:r>
        <w:rPr>
          <w:spacing w:val="-40"/>
        </w:rPr>
        <w:t xml:space="preserve">到 </w:t>
      </w:r>
      <w:r>
        <w:rPr>
          <w:rFonts w:ascii="Times New Roman" w:eastAsia="Times New Roman"/>
        </w:rPr>
        <w:t xml:space="preserve">2022 </w:t>
      </w:r>
      <w:r>
        <w:rPr>
          <w:spacing w:val="-25"/>
        </w:rPr>
        <w:t xml:space="preserve">年和 </w:t>
      </w:r>
      <w:r>
        <w:rPr>
          <w:rFonts w:ascii="Times New Roman" w:eastAsia="Times New Roman"/>
        </w:rPr>
        <w:t xml:space="preserve">2030 </w:t>
      </w:r>
      <w:r>
        <w:rPr>
          <w:spacing w:val="4"/>
        </w:rPr>
        <w:t>年，国家学生体质健康标准达标优良率</w:t>
      </w:r>
      <w:r>
        <w:rPr>
          <w:spacing w:val="-15"/>
        </w:rPr>
        <w:t xml:space="preserve">分别达到 </w:t>
      </w:r>
      <w:r>
        <w:rPr>
          <w:rFonts w:ascii="Times New Roman" w:eastAsia="Times New Roman"/>
        </w:rPr>
        <w:t>50%</w:t>
      </w:r>
      <w:r>
        <w:rPr>
          <w:spacing w:val="-15"/>
        </w:rPr>
        <w:t xml:space="preserve">及以上和 </w:t>
      </w:r>
      <w:r>
        <w:rPr>
          <w:rFonts w:ascii="Times New Roman" w:eastAsia="Times New Roman"/>
        </w:rPr>
        <w:t>60%</w:t>
      </w:r>
      <w:r>
        <w:t>及以上；全国儿童青少年总体近视</w:t>
      </w:r>
      <w:r>
        <w:rPr>
          <w:spacing w:val="49"/>
        </w:rPr>
        <w:t xml:space="preserve">率力争每年降低 </w:t>
      </w:r>
      <w:r>
        <w:rPr>
          <w:rFonts w:ascii="Times New Roman" w:eastAsia="Times New Roman"/>
        </w:rPr>
        <w:t>0.5</w:t>
      </w:r>
      <w:r>
        <w:rPr>
          <w:rFonts w:ascii="Times New Roman" w:eastAsia="Times New Roman"/>
          <w:spacing w:val="61"/>
        </w:rPr>
        <w:t xml:space="preserve"> </w:t>
      </w:r>
      <w:r>
        <w:rPr>
          <w:spacing w:val="64"/>
        </w:rPr>
        <w:t>个百分点以上和新发近视率明显</w:t>
      </w:r>
    </w:p>
    <w:p>
      <w:pPr>
        <w:spacing w:after="0" w:line="350" w:lineRule="auto"/>
        <w:jc w:val="both"/>
        <w:sectPr>
          <w:pgSz w:w="11910" w:h="16840"/>
          <w:pgMar w:top="1540" w:right="1140" w:bottom="1380" w:left="1400" w:header="0" w:footer="1200" w:gutter="0"/>
        </w:sectPr>
      </w:pPr>
    </w:p>
    <w:p>
      <w:pPr>
        <w:pStyle w:val="3"/>
        <w:spacing w:line="350" w:lineRule="auto"/>
        <w:ind w:right="270" w:firstLine="0"/>
        <w:jc w:val="both"/>
      </w:pPr>
      <w:r>
        <w:rPr>
          <w:spacing w:val="-3"/>
        </w:rPr>
        <w:t xml:space="preserve">下降；小学生近视率下降到 </w:t>
      </w:r>
      <w:r>
        <w:rPr>
          <w:rFonts w:ascii="Times New Roman" w:eastAsia="Times New Roman"/>
        </w:rPr>
        <w:t>38%</w:t>
      </w:r>
      <w:r>
        <w:rPr>
          <w:spacing w:val="4"/>
        </w:rPr>
        <w:t>以下；符合要求的中小学体育</w:t>
      </w:r>
      <w:r>
        <w:rPr>
          <w:spacing w:val="-5"/>
        </w:rPr>
        <w:t xml:space="preserve">与健康课程开课率达到 </w:t>
      </w:r>
      <w:r>
        <w:rPr>
          <w:rFonts w:ascii="Times New Roman" w:eastAsia="Times New Roman"/>
          <w:spacing w:val="-12"/>
        </w:rPr>
        <w:t>100%</w:t>
      </w:r>
      <w:r>
        <w:rPr>
          <w:spacing w:val="-3"/>
        </w:rPr>
        <w:t>；中小学生每天校内体育活动时间</w:t>
      </w:r>
      <w:r>
        <w:rPr>
          <w:spacing w:val="-24"/>
        </w:rPr>
        <w:t xml:space="preserve">不少于 </w:t>
      </w:r>
      <w:r>
        <w:rPr>
          <w:rFonts w:ascii="Times New Roman" w:eastAsia="Times New Roman"/>
        </w:rPr>
        <w:t xml:space="preserve">1 </w:t>
      </w:r>
      <w:r>
        <w:rPr>
          <w:spacing w:val="-12"/>
        </w:rPr>
        <w:t xml:space="preserve">小时；学校眼保健操普及率达到 </w:t>
      </w:r>
      <w:r>
        <w:rPr>
          <w:rFonts w:ascii="Times New Roman" w:eastAsia="Times New Roman"/>
          <w:spacing w:val="-6"/>
        </w:rPr>
        <w:t>100%</w:t>
      </w:r>
      <w:r>
        <w:rPr>
          <w:spacing w:val="-2"/>
        </w:rPr>
        <w:t>；寄宿制中小学</w:t>
      </w:r>
      <w:r>
        <w:rPr>
          <w:spacing w:val="-27"/>
        </w:rPr>
        <w:t xml:space="preserve">校或 </w:t>
      </w:r>
      <w:r>
        <w:rPr>
          <w:rFonts w:ascii="Times New Roman" w:eastAsia="Times New Roman"/>
        </w:rPr>
        <w:t xml:space="preserve">600 </w:t>
      </w:r>
      <w:r>
        <w:rPr>
          <w:spacing w:val="4"/>
        </w:rPr>
        <w:t>名学生以上的非寄宿制中小学校配备专职卫生专业技</w:t>
      </w:r>
      <w:r>
        <w:rPr>
          <w:spacing w:val="-26"/>
        </w:rPr>
        <w:t>术人员、</w:t>
      </w:r>
      <w:r>
        <w:rPr>
          <w:rFonts w:ascii="Times New Roman" w:eastAsia="Times New Roman"/>
        </w:rPr>
        <w:t xml:space="preserve">600 </w:t>
      </w:r>
      <w:r>
        <w:t>名学生以下的非寄宿制中小学校配备专兼职保健教</w:t>
      </w:r>
      <w:r>
        <w:rPr>
          <w:spacing w:val="-5"/>
        </w:rPr>
        <w:t xml:space="preserve">师或卫生专业技术人员的比例分别达到 </w:t>
      </w:r>
      <w:r>
        <w:rPr>
          <w:rFonts w:ascii="Times New Roman" w:eastAsia="Times New Roman"/>
        </w:rPr>
        <w:t>70%</w:t>
      </w:r>
      <w:r>
        <w:rPr>
          <w:spacing w:val="-14"/>
        </w:rPr>
        <w:t xml:space="preserve">及以上和 </w:t>
      </w:r>
      <w:r>
        <w:rPr>
          <w:rFonts w:ascii="Times New Roman" w:eastAsia="Times New Roman"/>
        </w:rPr>
        <w:t>90%</w:t>
      </w:r>
      <w:r>
        <w:rPr>
          <w:spacing w:val="2"/>
        </w:rPr>
        <w:t>及以</w:t>
      </w:r>
      <w:r>
        <w:rPr>
          <w:spacing w:val="4"/>
        </w:rPr>
        <w:t>上；未配齐卫生专业技术人员的学校应由当地政府统一建立基层医疗卫生机构包片制度，实现中小学校全覆盖；配备专兼职</w:t>
      </w:r>
      <w:r>
        <w:rPr>
          <w:spacing w:val="-4"/>
        </w:rPr>
        <w:t xml:space="preserve">心理健康工作人员的中小学校比例分别达到 </w:t>
      </w:r>
      <w:r>
        <w:rPr>
          <w:rFonts w:ascii="Times New Roman" w:eastAsia="Times New Roman"/>
        </w:rPr>
        <w:t>80%</w:t>
      </w:r>
      <w:r>
        <w:rPr>
          <w:spacing w:val="-19"/>
        </w:rPr>
        <w:t xml:space="preserve">以上和 </w:t>
      </w:r>
      <w:r>
        <w:rPr>
          <w:rFonts w:ascii="Times New Roman" w:eastAsia="Times New Roman"/>
        </w:rPr>
        <w:t>90%</w:t>
      </w:r>
      <w:r>
        <w:t>以</w:t>
      </w:r>
      <w:r>
        <w:rPr>
          <w:spacing w:val="4"/>
        </w:rPr>
        <w:t>上；将学生体质健康情况纳入对学校绩效考核，与学校负责人奖惩挂钩，将高中体育科目纳入高中学业水平测试或高考综合</w:t>
      </w:r>
      <w:r>
        <w:rPr>
          <w:spacing w:val="-4"/>
        </w:rPr>
        <w:t>评价体系；鼓励高校探索在特殊类型招生中增设体育科目测试。</w:t>
      </w:r>
    </w:p>
    <w:p>
      <w:pPr>
        <w:pStyle w:val="3"/>
        <w:spacing w:before="16" w:line="350" w:lineRule="auto"/>
        <w:jc w:val="both"/>
      </w:pPr>
      <w:bookmarkStart w:id="49" w:name="提倡中小学生每天在校外接触自然光时间1小时以上；小学生、初中生、高中生每天睡眠时"/>
      <w:bookmarkEnd w:id="49"/>
      <w:r>
        <w:rPr>
          <w:spacing w:val="-1"/>
        </w:rPr>
        <w:t xml:space="preserve">提倡中小学生每天在校外接触自然光时间 </w:t>
      </w:r>
      <w:r>
        <w:rPr>
          <w:rFonts w:ascii="Times New Roman" w:eastAsia="Times New Roman"/>
        </w:rPr>
        <w:t xml:space="preserve">1 </w:t>
      </w:r>
      <w:r>
        <w:rPr>
          <w:spacing w:val="4"/>
        </w:rPr>
        <w:t>小时以上；小</w:t>
      </w:r>
      <w:r>
        <w:rPr>
          <w:spacing w:val="-6"/>
        </w:rPr>
        <w:t xml:space="preserve">学生、初中生、高中生每天睡眠时间分别不少于 </w:t>
      </w:r>
      <w:r>
        <w:rPr>
          <w:rFonts w:ascii="Times New Roman" w:eastAsia="Times New Roman"/>
        </w:rPr>
        <w:t>10</w:t>
      </w:r>
      <w:r>
        <w:rPr>
          <w:spacing w:val="-10"/>
        </w:rPr>
        <w:t>、</w:t>
      </w:r>
      <w:r>
        <w:rPr>
          <w:rFonts w:ascii="Times New Roman" w:eastAsia="Times New Roman"/>
        </w:rPr>
        <w:t>9</w:t>
      </w:r>
      <w:r>
        <w:rPr>
          <w:spacing w:val="-7"/>
        </w:rPr>
        <w:t>、</w:t>
      </w:r>
      <w:r>
        <w:rPr>
          <w:rFonts w:ascii="Times New Roman" w:eastAsia="Times New Roman"/>
        </w:rPr>
        <w:t xml:space="preserve">8 </w:t>
      </w:r>
      <w:r>
        <w:t>个小</w:t>
      </w:r>
      <w:r>
        <w:rPr>
          <w:spacing w:val="-9"/>
        </w:rPr>
        <w:t xml:space="preserve">时；中小学生非学习目的使用电子屏幕产品单次不宜超过 </w:t>
      </w:r>
      <w:r>
        <w:rPr>
          <w:rFonts w:ascii="Times New Roman" w:eastAsia="Times New Roman"/>
        </w:rPr>
        <w:t xml:space="preserve">15 </w:t>
      </w:r>
      <w:r>
        <w:t>分</w:t>
      </w:r>
    </w:p>
    <w:p>
      <w:pPr>
        <w:pStyle w:val="3"/>
        <w:spacing w:before="5" w:line="350" w:lineRule="auto"/>
        <w:ind w:firstLine="0"/>
        <w:jc w:val="both"/>
      </w:pPr>
      <w:r>
        <w:t xml:space="preserve">钟，每天累计不宜超过 </w:t>
      </w:r>
      <w:r>
        <w:rPr>
          <w:rFonts w:ascii="Times New Roman" w:eastAsia="Times New Roman"/>
        </w:rPr>
        <w:t xml:space="preserve">1 </w:t>
      </w:r>
      <w:r>
        <w:t>小时；学校鼓励引导学生达到《国家学生体质健康标准》良好及以上水平。</w:t>
      </w:r>
    </w:p>
    <w:p>
      <w:pPr>
        <w:pStyle w:val="2"/>
        <w:spacing w:before="2"/>
        <w:rPr>
          <w:rFonts w:hint="eastAsia" w:ascii="仿宋" w:hAnsi="仿宋" w:eastAsia="仿宋"/>
        </w:rPr>
      </w:pPr>
      <w:bookmarkStart w:id="50" w:name="——个人："/>
      <w:bookmarkEnd w:id="50"/>
      <w:r>
        <w:rPr>
          <w:rFonts w:ascii="Times New Roman" w:hAnsi="Times New Roman" w:eastAsia="Times New Roman"/>
        </w:rPr>
        <w:t>——</w:t>
      </w:r>
      <w:r>
        <w:rPr>
          <w:rFonts w:hint="eastAsia" w:ascii="仿宋" w:hAnsi="仿宋" w:eastAsia="仿宋"/>
        </w:rPr>
        <w:t>个人：</w:t>
      </w:r>
    </w:p>
    <w:p>
      <w:pPr>
        <w:pStyle w:val="10"/>
        <w:numPr>
          <w:ilvl w:val="0"/>
          <w:numId w:val="20"/>
        </w:numPr>
        <w:tabs>
          <w:tab w:val="left" w:pos="1052"/>
        </w:tabs>
        <w:spacing w:before="190" w:after="0" w:line="350" w:lineRule="auto"/>
        <w:ind w:left="171" w:right="429" w:firstLine="638"/>
        <w:jc w:val="both"/>
        <w:rPr>
          <w:sz w:val="32"/>
        </w:rPr>
      </w:pPr>
      <w:r>
        <w:rPr>
          <w:spacing w:val="-11"/>
          <w:w w:val="95"/>
          <w:sz w:val="32"/>
        </w:rPr>
        <w:t>科学运动。保证充足的体育活动，减少久坐和视屏</w:t>
      </w:r>
      <w:r>
        <w:rPr>
          <w:w w:val="95"/>
          <w:sz w:val="32"/>
        </w:rPr>
        <w:t xml:space="preserve">（观看 </w:t>
      </w:r>
      <w:r>
        <w:rPr>
          <w:spacing w:val="5"/>
          <w:w w:val="95"/>
          <w:sz w:val="32"/>
        </w:rPr>
        <w:t>电视，使用电脑、手机等）</w:t>
      </w:r>
      <w:r>
        <w:rPr>
          <w:spacing w:val="3"/>
          <w:w w:val="95"/>
          <w:sz w:val="32"/>
        </w:rPr>
        <w:t xml:space="preserve">时间。课间休息，要离开座位适量 </w:t>
      </w:r>
      <w:r>
        <w:rPr>
          <w:spacing w:val="-6"/>
          <w:sz w:val="32"/>
        </w:rPr>
        <w:t xml:space="preserve">活动。每天累计至少 </w:t>
      </w:r>
      <w:r>
        <w:rPr>
          <w:rFonts w:ascii="Times New Roman" w:eastAsia="Times New Roman"/>
          <w:sz w:val="32"/>
        </w:rPr>
        <w:t>1</w:t>
      </w:r>
      <w:r>
        <w:rPr>
          <w:rFonts w:ascii="Times New Roman" w:eastAsia="Times New Roman"/>
          <w:spacing w:val="-8"/>
          <w:sz w:val="32"/>
        </w:rPr>
        <w:t xml:space="preserve"> </w:t>
      </w:r>
      <w:r>
        <w:rPr>
          <w:spacing w:val="4"/>
          <w:sz w:val="32"/>
        </w:rPr>
        <w:t>小时中等强度及以上的运动，培养终身运动的习惯。</w:t>
      </w:r>
    </w:p>
    <w:p>
      <w:pPr>
        <w:spacing w:after="0" w:line="350" w:lineRule="auto"/>
        <w:jc w:val="both"/>
        <w:rPr>
          <w:sz w:val="32"/>
        </w:rPr>
        <w:sectPr>
          <w:pgSz w:w="11910" w:h="16840"/>
          <w:pgMar w:top="1540" w:right="1140" w:bottom="1380" w:left="1400" w:header="0" w:footer="1200" w:gutter="0"/>
        </w:sectPr>
      </w:pPr>
    </w:p>
    <w:p>
      <w:pPr>
        <w:pStyle w:val="10"/>
        <w:numPr>
          <w:ilvl w:val="0"/>
          <w:numId w:val="20"/>
        </w:numPr>
        <w:tabs>
          <w:tab w:val="left" w:pos="1052"/>
        </w:tabs>
        <w:spacing w:before="43" w:after="0" w:line="350" w:lineRule="auto"/>
        <w:ind w:left="171" w:right="314" w:firstLine="638"/>
        <w:jc w:val="left"/>
        <w:rPr>
          <w:sz w:val="32"/>
        </w:rPr>
      </w:pPr>
      <w:r>
        <w:rPr>
          <w:sz w:val="32"/>
        </w:rPr>
        <w:t xml:space="preserve">注意用眼卫生。主动学习掌握科学用眼护眼等健康知识， </w:t>
      </w:r>
      <w:r>
        <w:rPr>
          <w:spacing w:val="4"/>
          <w:sz w:val="32"/>
        </w:rPr>
        <w:t>养成健康用眼习惯。保持正确读写姿势。握笔的指尖离笔尖一寸、胸部离桌子一拳，书本离眼一尺，保持读写坐姿端正。读写要在采光良好、照明充足的环境中进行。白天学习时，充分利用自然光线照明，避免光线直射在桌面上。晚上学习时，同</w:t>
      </w:r>
      <w:r>
        <w:rPr>
          <w:sz w:val="32"/>
        </w:rPr>
        <w:t xml:space="preserve">时打开台灯和房间大灯。读写连续用眼时间不宜超过 </w:t>
      </w:r>
      <w:r>
        <w:rPr>
          <w:rFonts w:ascii="Times New Roman" w:eastAsia="Times New Roman"/>
          <w:sz w:val="32"/>
        </w:rPr>
        <w:t>40</w:t>
      </w:r>
      <w:r>
        <w:rPr>
          <w:rFonts w:ascii="Times New Roman" w:eastAsia="Times New Roman"/>
          <w:spacing w:val="-5"/>
          <w:sz w:val="32"/>
        </w:rPr>
        <w:t xml:space="preserve"> </w:t>
      </w:r>
      <w:r>
        <w:rPr>
          <w:sz w:val="32"/>
        </w:rPr>
        <w:t>分钟。</w:t>
      </w:r>
      <w:r>
        <w:rPr>
          <w:spacing w:val="3"/>
          <w:sz w:val="32"/>
        </w:rPr>
        <w:t>自觉减少电子屏幕产品使用。避免不良用眼行为，不在走路、</w:t>
      </w:r>
      <w:r>
        <w:rPr>
          <w:spacing w:val="4"/>
          <w:sz w:val="32"/>
        </w:rPr>
        <w:t>吃饭、躺卧时，晃动的车厢内，光线暗弱或阳光直射下看书或使用电子屏幕产品。自我感觉视力发生明显变化时，及时告知家长和教师，尽早到眼科医疗机构检查和治疗。</w:t>
      </w:r>
    </w:p>
    <w:p>
      <w:pPr>
        <w:pStyle w:val="10"/>
        <w:numPr>
          <w:ilvl w:val="0"/>
          <w:numId w:val="20"/>
        </w:numPr>
        <w:tabs>
          <w:tab w:val="left" w:pos="1052"/>
        </w:tabs>
        <w:spacing w:before="14" w:after="0" w:line="350" w:lineRule="auto"/>
        <w:ind w:left="171" w:right="110" w:firstLine="638"/>
        <w:jc w:val="left"/>
        <w:rPr>
          <w:sz w:val="32"/>
        </w:rPr>
      </w:pPr>
      <w:r>
        <w:rPr>
          <w:spacing w:val="-11"/>
          <w:w w:val="95"/>
          <w:sz w:val="32"/>
        </w:rPr>
        <w:t xml:space="preserve">保持健康体重。学会选择食物和合理搭配食物的生活技能。 </w:t>
      </w:r>
      <w:r>
        <w:rPr>
          <w:spacing w:val="4"/>
          <w:sz w:val="32"/>
        </w:rPr>
        <w:t>每天吃早餐，合理选择零食，在两餐之间可选择适量水果、坚果或酸奶等食物作为零食。足量饮水，首选白开水，少喝或不</w:t>
      </w:r>
      <w:r>
        <w:rPr>
          <w:spacing w:val="-2"/>
          <w:sz w:val="32"/>
        </w:rPr>
        <w:t>喝含糖饮料。自我监测身高、体重等生长发育指标，及早发现、科学判断是否出现超重、肥胖等健康问题。</w:t>
      </w:r>
    </w:p>
    <w:p>
      <w:pPr>
        <w:pStyle w:val="10"/>
        <w:numPr>
          <w:ilvl w:val="0"/>
          <w:numId w:val="20"/>
        </w:numPr>
        <w:tabs>
          <w:tab w:val="left" w:pos="1052"/>
        </w:tabs>
        <w:spacing w:before="7" w:after="0" w:line="350" w:lineRule="auto"/>
        <w:ind w:left="171" w:right="429" w:firstLine="638"/>
        <w:jc w:val="left"/>
        <w:rPr>
          <w:sz w:val="32"/>
        </w:rPr>
      </w:pPr>
      <w:r>
        <w:rPr>
          <w:spacing w:val="-9"/>
          <w:sz w:val="32"/>
        </w:rPr>
        <w:t>了解传染病防控知识，增强体质，预防传染病，特别是预防常见呼吸道传染病。</w:t>
      </w:r>
    </w:p>
    <w:p>
      <w:pPr>
        <w:pStyle w:val="10"/>
        <w:numPr>
          <w:ilvl w:val="0"/>
          <w:numId w:val="20"/>
        </w:numPr>
        <w:tabs>
          <w:tab w:val="left" w:pos="1052"/>
        </w:tabs>
        <w:spacing w:before="2" w:after="0" w:line="350" w:lineRule="auto"/>
        <w:ind w:left="171" w:right="429" w:firstLine="638"/>
        <w:jc w:val="both"/>
        <w:rPr>
          <w:sz w:val="32"/>
        </w:rPr>
      </w:pPr>
      <w:r>
        <w:rPr>
          <w:spacing w:val="-9"/>
          <w:w w:val="95"/>
          <w:sz w:val="32"/>
        </w:rPr>
        <w:t xml:space="preserve">掌握科学的应对方法，促进心理健康。保持积极向上的健 </w:t>
      </w:r>
      <w:r>
        <w:rPr>
          <w:spacing w:val="4"/>
          <w:w w:val="95"/>
          <w:sz w:val="32"/>
        </w:rPr>
        <w:t>康心理状态，积极参加文体活动和社会实践。了解不良情绪对 健康的影响，掌握调控情绪的基本方法。正确认识心理问题， 学会积极暗示，适当宣泄，可以通过深呼吸或找朋友倾诉、写 日记、画画、踢球等方式，将心中郁积的不良情绪如痛苦、委</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pPr>
      <w:r>
        <w:rPr>
          <w:spacing w:val="4"/>
          <w:w w:val="95"/>
        </w:rPr>
        <w:t xml:space="preserve">屈、愤怒等发泄出去，可向父母、老师、朋友等寻求帮助，还 </w:t>
      </w:r>
      <w:r>
        <w:t>可主动接受心理辅导（心理咨询与治疗等）。</w:t>
      </w:r>
    </w:p>
    <w:p>
      <w:pPr>
        <w:pStyle w:val="10"/>
        <w:numPr>
          <w:ilvl w:val="0"/>
          <w:numId w:val="20"/>
        </w:numPr>
        <w:tabs>
          <w:tab w:val="left" w:pos="1052"/>
        </w:tabs>
        <w:spacing w:before="3" w:after="0" w:line="350" w:lineRule="auto"/>
        <w:ind w:left="171" w:right="429" w:firstLine="638"/>
        <w:jc w:val="left"/>
        <w:rPr>
          <w:sz w:val="32"/>
        </w:rPr>
      </w:pPr>
      <w:r>
        <w:rPr>
          <w:spacing w:val="-12"/>
          <w:w w:val="95"/>
          <w:sz w:val="32"/>
        </w:rPr>
        <w:t xml:space="preserve">合理、安全使用网络，增强对互联网信息的辨别力，主动 </w:t>
      </w:r>
      <w:r>
        <w:rPr>
          <w:spacing w:val="-12"/>
          <w:sz w:val="32"/>
        </w:rPr>
        <w:t>控制上网时间，抵制网络成瘾。</w:t>
      </w:r>
    </w:p>
    <w:p>
      <w:pPr>
        <w:pStyle w:val="10"/>
        <w:numPr>
          <w:ilvl w:val="0"/>
          <w:numId w:val="20"/>
        </w:numPr>
        <w:tabs>
          <w:tab w:val="left" w:pos="1052"/>
        </w:tabs>
        <w:spacing w:before="2" w:after="0" w:line="350" w:lineRule="auto"/>
        <w:ind w:left="171" w:right="270" w:firstLine="638"/>
        <w:jc w:val="left"/>
        <w:rPr>
          <w:sz w:val="32"/>
        </w:rPr>
      </w:pPr>
      <w:r>
        <w:rPr>
          <w:spacing w:val="-10"/>
          <w:sz w:val="32"/>
        </w:rPr>
        <w:t>保证充足的睡眠，不熬夜。科学用耳、注意保护听力。早</w:t>
      </w:r>
      <w:r>
        <w:rPr>
          <w:spacing w:val="2"/>
          <w:sz w:val="32"/>
        </w:rPr>
        <w:t xml:space="preserve">晚刷牙、饭后漱口，采用正确的刷牙方法，每次刷牙不少于 </w:t>
      </w:r>
      <w:r>
        <w:rPr>
          <w:rFonts w:ascii="Times New Roman" w:eastAsia="Times New Roman"/>
          <w:sz w:val="32"/>
        </w:rPr>
        <w:t xml:space="preserve">2 </w:t>
      </w:r>
      <w:r>
        <w:rPr>
          <w:spacing w:val="-5"/>
          <w:w w:val="95"/>
          <w:sz w:val="32"/>
        </w:rPr>
        <w:t xml:space="preserve">分钟。发生龋齿及时提醒家长陪同就医。不吸烟，拒吸二手烟， </w:t>
      </w:r>
      <w:r>
        <w:rPr>
          <w:spacing w:val="4"/>
          <w:sz w:val="32"/>
        </w:rPr>
        <w:t>帮助家长戒烟。增强自身安全防范意识，掌握伤害防范的知识与技能，预防交通伤害、校园暴力伤害、溺水、性骚扰性侵害等。远离不安全性行为。不以任何理由尝试毒品。</w:t>
      </w:r>
    </w:p>
    <w:p>
      <w:pPr>
        <w:pStyle w:val="2"/>
        <w:spacing w:before="9"/>
        <w:rPr>
          <w:rFonts w:hint="eastAsia" w:ascii="仿宋" w:hAnsi="仿宋" w:eastAsia="仿宋"/>
        </w:rPr>
      </w:pPr>
      <w:bookmarkStart w:id="51" w:name="——家庭："/>
      <w:bookmarkEnd w:id="51"/>
      <w:r>
        <w:rPr>
          <w:rFonts w:ascii="Times New Roman" w:hAnsi="Times New Roman" w:eastAsia="Times New Roman"/>
        </w:rPr>
        <w:t>——</w:t>
      </w:r>
      <w:r>
        <w:rPr>
          <w:rFonts w:hint="eastAsia" w:ascii="仿宋" w:hAnsi="仿宋" w:eastAsia="仿宋"/>
        </w:rPr>
        <w:t>家庭：</w:t>
      </w:r>
    </w:p>
    <w:p>
      <w:pPr>
        <w:pStyle w:val="10"/>
        <w:numPr>
          <w:ilvl w:val="0"/>
          <w:numId w:val="21"/>
        </w:numPr>
        <w:tabs>
          <w:tab w:val="left" w:pos="1052"/>
        </w:tabs>
        <w:spacing w:before="190" w:after="0" w:line="350" w:lineRule="auto"/>
        <w:ind w:left="171" w:right="314" w:firstLine="638"/>
        <w:jc w:val="left"/>
        <w:rPr>
          <w:sz w:val="32"/>
        </w:rPr>
      </w:pPr>
      <w:r>
        <w:rPr>
          <w:sz w:val="32"/>
        </w:rPr>
        <w:t xml:space="preserve">通过亲子读书、参与讲座等多种方式给予孩子健康知识， </w:t>
      </w:r>
      <w:r>
        <w:rPr>
          <w:spacing w:val="4"/>
          <w:sz w:val="32"/>
        </w:rPr>
        <w:t>以身作则，带动和帮助孩子形成良好健康行为，合理饮食，规律作息，每天锻炼。</w:t>
      </w:r>
    </w:p>
    <w:p>
      <w:pPr>
        <w:pStyle w:val="10"/>
        <w:numPr>
          <w:ilvl w:val="0"/>
          <w:numId w:val="21"/>
        </w:numPr>
        <w:tabs>
          <w:tab w:val="left" w:pos="1052"/>
        </w:tabs>
        <w:spacing w:before="4" w:after="0" w:line="350" w:lineRule="auto"/>
        <w:ind w:left="171" w:right="314" w:firstLine="638"/>
        <w:jc w:val="left"/>
        <w:rPr>
          <w:sz w:val="32"/>
        </w:rPr>
      </w:pPr>
      <w:r>
        <w:rPr>
          <w:sz w:val="32"/>
        </w:rPr>
        <w:t>注重教养方式方法，既不溺爱孩子，也不粗暴对待孩子。</w:t>
      </w:r>
      <w:r>
        <w:rPr>
          <w:spacing w:val="4"/>
          <w:sz w:val="32"/>
        </w:rPr>
        <w:t>做孩子的倾听者，帮助孩子正确面对问题、处理问题，关注孩子的心理健康。</w:t>
      </w:r>
    </w:p>
    <w:p>
      <w:pPr>
        <w:pStyle w:val="10"/>
        <w:numPr>
          <w:ilvl w:val="0"/>
          <w:numId w:val="21"/>
        </w:numPr>
        <w:tabs>
          <w:tab w:val="left" w:pos="1053"/>
        </w:tabs>
        <w:spacing w:before="4" w:after="0" w:line="240" w:lineRule="auto"/>
        <w:ind w:left="1052" w:right="0" w:hanging="243"/>
        <w:jc w:val="left"/>
        <w:rPr>
          <w:sz w:val="32"/>
        </w:rPr>
      </w:pPr>
      <w:r>
        <w:rPr>
          <w:spacing w:val="-5"/>
          <w:sz w:val="32"/>
        </w:rPr>
        <w:t xml:space="preserve">保障孩子睡眠时间，确保小学生每天睡眠 </w:t>
      </w:r>
      <w:r>
        <w:rPr>
          <w:rFonts w:ascii="Times New Roman" w:eastAsia="Times New Roman"/>
          <w:sz w:val="32"/>
        </w:rPr>
        <w:t>10</w:t>
      </w:r>
      <w:r>
        <w:rPr>
          <w:rFonts w:ascii="Times New Roman" w:eastAsia="Times New Roman"/>
          <w:spacing w:val="2"/>
          <w:sz w:val="32"/>
        </w:rPr>
        <w:t xml:space="preserve"> </w:t>
      </w:r>
      <w:r>
        <w:rPr>
          <w:sz w:val="32"/>
        </w:rPr>
        <w:t>个小时、初</w:t>
      </w:r>
    </w:p>
    <w:p>
      <w:pPr>
        <w:pStyle w:val="3"/>
        <w:spacing w:before="190" w:line="350" w:lineRule="auto"/>
        <w:ind w:right="374" w:firstLine="0"/>
      </w:pPr>
      <w:r>
        <w:t xml:space="preserve">中生 </w:t>
      </w:r>
      <w:r>
        <w:rPr>
          <w:rFonts w:ascii="Times New Roman" w:eastAsia="Times New Roman"/>
        </w:rPr>
        <w:t xml:space="preserve">9 </w:t>
      </w:r>
      <w:r>
        <w:t xml:space="preserve">个小时、高中生 </w:t>
      </w:r>
      <w:r>
        <w:rPr>
          <w:rFonts w:ascii="Times New Roman" w:eastAsia="Times New Roman"/>
        </w:rPr>
        <w:t xml:space="preserve">8 </w:t>
      </w:r>
      <w:r>
        <w:t>个小时，减少孩子近距离用眼和看电子屏幕时间。</w:t>
      </w:r>
    </w:p>
    <w:p>
      <w:pPr>
        <w:pStyle w:val="10"/>
        <w:numPr>
          <w:ilvl w:val="0"/>
          <w:numId w:val="21"/>
        </w:numPr>
        <w:tabs>
          <w:tab w:val="left" w:pos="1052"/>
        </w:tabs>
        <w:spacing w:before="3" w:after="0" w:line="350" w:lineRule="auto"/>
        <w:ind w:left="171" w:right="429" w:firstLine="638"/>
        <w:jc w:val="both"/>
        <w:rPr>
          <w:sz w:val="32"/>
        </w:rPr>
      </w:pPr>
      <w:r>
        <w:rPr>
          <w:spacing w:val="-9"/>
          <w:sz w:val="32"/>
        </w:rPr>
        <w:t>营造良好的家庭体育运动氛围，积极引导孩子进行户外活</w:t>
      </w:r>
      <w:r>
        <w:rPr>
          <w:spacing w:val="2"/>
          <w:sz w:val="32"/>
        </w:rPr>
        <w:t xml:space="preserve">动或体育锻炼，确保孩子每天在校外接触自然光的时间达到 </w:t>
      </w:r>
      <w:r>
        <w:rPr>
          <w:rFonts w:ascii="Times New Roman" w:eastAsia="Times New Roman"/>
          <w:sz w:val="32"/>
        </w:rPr>
        <w:t xml:space="preserve">1 </w:t>
      </w:r>
      <w:r>
        <w:rPr>
          <w:spacing w:val="4"/>
          <w:w w:val="95"/>
          <w:sz w:val="32"/>
        </w:rPr>
        <w:t>小时以上。鼓励支持孩子参加校外多种形式的体育活动，督促</w:t>
      </w:r>
    </w:p>
    <w:p>
      <w:pPr>
        <w:spacing w:after="0" w:line="350" w:lineRule="auto"/>
        <w:jc w:val="both"/>
        <w:rPr>
          <w:sz w:val="32"/>
        </w:rPr>
        <w:sectPr>
          <w:pgSz w:w="11910" w:h="16840"/>
          <w:pgMar w:top="1540" w:right="1140" w:bottom="1380" w:left="1400" w:header="0" w:footer="1200" w:gutter="0"/>
        </w:sectPr>
      </w:pPr>
    </w:p>
    <w:p>
      <w:pPr>
        <w:pStyle w:val="3"/>
        <w:spacing w:line="350" w:lineRule="auto"/>
        <w:ind w:right="270" w:firstLine="0"/>
        <w:jc w:val="both"/>
      </w:pPr>
      <w:r>
        <w:rPr>
          <w:spacing w:val="-17"/>
        </w:rPr>
        <w:t xml:space="preserve">孩子认真完成寒暑假体育作业，使其掌握 </w:t>
      </w:r>
      <w:r>
        <w:rPr>
          <w:rFonts w:ascii="Times New Roman" w:eastAsia="Times New Roman"/>
        </w:rPr>
        <w:t>1</w:t>
      </w:r>
      <w:r>
        <w:t>～</w:t>
      </w:r>
      <w:r>
        <w:rPr>
          <w:rFonts w:ascii="Times New Roman" w:eastAsia="Times New Roman"/>
        </w:rPr>
        <w:t xml:space="preserve">2 </w:t>
      </w:r>
      <w:r>
        <w:t>项体育运动技能， 引导孩子养成终身锻炼习惯。</w:t>
      </w:r>
    </w:p>
    <w:p>
      <w:pPr>
        <w:pStyle w:val="10"/>
        <w:numPr>
          <w:ilvl w:val="0"/>
          <w:numId w:val="21"/>
        </w:numPr>
        <w:tabs>
          <w:tab w:val="left" w:pos="1052"/>
        </w:tabs>
        <w:spacing w:before="3" w:after="0" w:line="350" w:lineRule="auto"/>
        <w:ind w:left="171" w:right="270" w:firstLine="638"/>
        <w:jc w:val="both"/>
        <w:rPr>
          <w:sz w:val="32"/>
        </w:rPr>
      </w:pPr>
      <w:r>
        <w:rPr>
          <w:spacing w:val="-6"/>
          <w:sz w:val="32"/>
        </w:rPr>
        <w:t>建议家长陪伴孩子时尽量减少使用电子屏幕产品。有意识</w:t>
      </w:r>
      <w:r>
        <w:rPr>
          <w:spacing w:val="4"/>
          <w:sz w:val="32"/>
        </w:rPr>
        <w:t>地控制孩子特别是学龄前儿童使用电子屏幕产品，非学习目的</w:t>
      </w:r>
      <w:r>
        <w:rPr>
          <w:spacing w:val="-2"/>
          <w:sz w:val="32"/>
        </w:rPr>
        <w:t xml:space="preserve">的电子屏幕产品使用单次不宜超过 </w:t>
      </w:r>
      <w:r>
        <w:rPr>
          <w:rFonts w:ascii="Times New Roman" w:eastAsia="Times New Roman"/>
          <w:sz w:val="32"/>
        </w:rPr>
        <w:t>15</w:t>
      </w:r>
      <w:r>
        <w:rPr>
          <w:rFonts w:ascii="Times New Roman" w:eastAsia="Times New Roman"/>
          <w:spacing w:val="1"/>
          <w:sz w:val="32"/>
        </w:rPr>
        <w:t xml:space="preserve"> </w:t>
      </w:r>
      <w:r>
        <w:rPr>
          <w:spacing w:val="-6"/>
          <w:sz w:val="32"/>
        </w:rPr>
        <w:t>分钟，每天累计不宜超过</w:t>
      </w:r>
      <w:r>
        <w:rPr>
          <w:rFonts w:ascii="Times New Roman" w:eastAsia="Times New Roman"/>
          <w:spacing w:val="-6"/>
          <w:sz w:val="32"/>
        </w:rPr>
        <w:t>1</w:t>
      </w:r>
      <w:r>
        <w:rPr>
          <w:rFonts w:ascii="Times New Roman" w:eastAsia="Times New Roman"/>
          <w:spacing w:val="3"/>
          <w:sz w:val="32"/>
        </w:rPr>
        <w:t xml:space="preserve"> </w:t>
      </w:r>
      <w:r>
        <w:rPr>
          <w:spacing w:val="-6"/>
          <w:sz w:val="32"/>
        </w:rPr>
        <w:t xml:space="preserve">小时，使用电子屏幕产品学习 </w:t>
      </w:r>
      <w:r>
        <w:rPr>
          <w:rFonts w:ascii="Times New Roman" w:eastAsia="Times New Roman"/>
          <w:sz w:val="32"/>
        </w:rPr>
        <w:t>30</w:t>
      </w:r>
      <w:r>
        <w:rPr>
          <w:sz w:val="32"/>
        </w:rPr>
        <w:t>～</w:t>
      </w:r>
      <w:r>
        <w:rPr>
          <w:rFonts w:ascii="Times New Roman" w:eastAsia="Times New Roman"/>
          <w:sz w:val="32"/>
        </w:rPr>
        <w:t>40</w:t>
      </w:r>
      <w:r>
        <w:rPr>
          <w:rFonts w:ascii="Times New Roman" w:eastAsia="Times New Roman"/>
          <w:spacing w:val="3"/>
          <w:sz w:val="32"/>
        </w:rPr>
        <w:t xml:space="preserve"> </w:t>
      </w:r>
      <w:r>
        <w:rPr>
          <w:sz w:val="32"/>
        </w:rPr>
        <w:t>分钟后，建议休息远眺</w:t>
      </w:r>
      <w:r>
        <w:rPr>
          <w:spacing w:val="-29"/>
          <w:sz w:val="32"/>
        </w:rPr>
        <w:t xml:space="preserve">放松 </w:t>
      </w:r>
      <w:r>
        <w:rPr>
          <w:rFonts w:ascii="Times New Roman" w:eastAsia="Times New Roman"/>
          <w:sz w:val="32"/>
        </w:rPr>
        <w:t>10</w:t>
      </w:r>
      <w:r>
        <w:rPr>
          <w:rFonts w:ascii="Times New Roman" w:eastAsia="Times New Roman"/>
          <w:spacing w:val="-6"/>
          <w:sz w:val="32"/>
        </w:rPr>
        <w:t xml:space="preserve"> </w:t>
      </w:r>
      <w:r>
        <w:rPr>
          <w:spacing w:val="-15"/>
          <w:sz w:val="32"/>
        </w:rPr>
        <w:t>分钟，年龄越小，连续使用电子屏幕产品的时间应越短。</w:t>
      </w:r>
    </w:p>
    <w:p>
      <w:pPr>
        <w:pStyle w:val="10"/>
        <w:numPr>
          <w:ilvl w:val="0"/>
          <w:numId w:val="21"/>
        </w:numPr>
        <w:tabs>
          <w:tab w:val="left" w:pos="1052"/>
        </w:tabs>
        <w:spacing w:before="7" w:after="0" w:line="350" w:lineRule="auto"/>
        <w:ind w:left="171" w:right="429" w:firstLine="638"/>
        <w:jc w:val="left"/>
        <w:rPr>
          <w:sz w:val="32"/>
        </w:rPr>
      </w:pPr>
      <w:r>
        <w:rPr>
          <w:spacing w:val="-8"/>
          <w:sz w:val="32"/>
        </w:rPr>
        <w:t>切实减轻孩子家庭和校外学业负担，不要盲目参加课外培训、跟风报班，建议根据孩子兴趣爱好合理选择。</w:t>
      </w:r>
    </w:p>
    <w:p>
      <w:pPr>
        <w:pStyle w:val="10"/>
        <w:numPr>
          <w:ilvl w:val="0"/>
          <w:numId w:val="21"/>
        </w:numPr>
        <w:tabs>
          <w:tab w:val="left" w:pos="1052"/>
        </w:tabs>
        <w:spacing w:before="2" w:after="0" w:line="350" w:lineRule="auto"/>
        <w:ind w:left="171" w:right="429" w:firstLine="638"/>
        <w:jc w:val="left"/>
        <w:rPr>
          <w:sz w:val="32"/>
        </w:rPr>
      </w:pPr>
      <w:r>
        <w:rPr>
          <w:spacing w:val="-11"/>
          <w:sz w:val="32"/>
        </w:rPr>
        <w:t>保障营养质量。鼓励孩子不挑食、不偏食，根据孩子身体发育情况均衡膳食，避免高糖、高盐、高油等食品的摄入。</w:t>
      </w:r>
    </w:p>
    <w:p>
      <w:pPr>
        <w:pStyle w:val="10"/>
        <w:numPr>
          <w:ilvl w:val="0"/>
          <w:numId w:val="21"/>
        </w:numPr>
        <w:tabs>
          <w:tab w:val="left" w:pos="1052"/>
        </w:tabs>
        <w:spacing w:before="3" w:after="0" w:line="350" w:lineRule="auto"/>
        <w:ind w:left="171" w:right="314" w:firstLine="638"/>
        <w:jc w:val="left"/>
        <w:rPr>
          <w:sz w:val="32"/>
        </w:rPr>
      </w:pPr>
      <w:r>
        <w:rPr>
          <w:sz w:val="32"/>
        </w:rPr>
        <w:t>随时关注孩子健康状况，发现孩子出现疾病早期征象时， 及时咨询专业人员或带其到医疗机构检查。</w:t>
      </w:r>
    </w:p>
    <w:p>
      <w:pPr>
        <w:pStyle w:val="2"/>
        <w:spacing w:before="3"/>
        <w:rPr>
          <w:rFonts w:hint="eastAsia" w:ascii="仿宋" w:hAnsi="仿宋" w:eastAsia="仿宋"/>
        </w:rPr>
      </w:pPr>
      <w:bookmarkStart w:id="52" w:name="——学校："/>
      <w:bookmarkEnd w:id="52"/>
      <w:r>
        <w:rPr>
          <w:rFonts w:ascii="Times New Roman" w:hAnsi="Times New Roman" w:eastAsia="Times New Roman"/>
        </w:rPr>
        <w:t>——</w:t>
      </w:r>
      <w:r>
        <w:rPr>
          <w:rFonts w:hint="eastAsia" w:ascii="仿宋" w:hAnsi="仿宋" w:eastAsia="仿宋"/>
        </w:rPr>
        <w:t>学校：</w:t>
      </w:r>
    </w:p>
    <w:p>
      <w:pPr>
        <w:pStyle w:val="10"/>
        <w:numPr>
          <w:ilvl w:val="0"/>
          <w:numId w:val="22"/>
        </w:numPr>
        <w:tabs>
          <w:tab w:val="left" w:pos="1052"/>
        </w:tabs>
        <w:spacing w:before="190" w:after="0" w:line="350" w:lineRule="auto"/>
        <w:ind w:left="171" w:right="429" w:firstLine="638"/>
        <w:jc w:val="both"/>
        <w:rPr>
          <w:sz w:val="32"/>
        </w:rPr>
      </w:pPr>
      <w:r>
        <w:rPr>
          <w:spacing w:val="-5"/>
          <w:sz w:val="32"/>
        </w:rPr>
        <w:t>严格依据国家课程方案和课程标准组织安排教学活动，小</w:t>
      </w:r>
      <w:r>
        <w:rPr>
          <w:spacing w:val="4"/>
          <w:w w:val="95"/>
          <w:sz w:val="32"/>
        </w:rPr>
        <w:t xml:space="preserve">学一二年级不布置书面家庭作业，三至六年级书面家庭作业完 </w:t>
      </w:r>
      <w:r>
        <w:rPr>
          <w:spacing w:val="-7"/>
          <w:sz w:val="32"/>
        </w:rPr>
        <w:t xml:space="preserve">成时间不得超过 </w:t>
      </w:r>
      <w:r>
        <w:rPr>
          <w:rFonts w:ascii="Times New Roman" w:eastAsia="Times New Roman"/>
          <w:sz w:val="32"/>
        </w:rPr>
        <w:t xml:space="preserve">60 </w:t>
      </w:r>
      <w:r>
        <w:rPr>
          <w:spacing w:val="-5"/>
          <w:sz w:val="32"/>
        </w:rPr>
        <w:t xml:space="preserve">分钟，初中不得超过 </w:t>
      </w:r>
      <w:r>
        <w:rPr>
          <w:rFonts w:ascii="Times New Roman" w:eastAsia="Times New Roman"/>
          <w:sz w:val="32"/>
        </w:rPr>
        <w:t xml:space="preserve">90 </w:t>
      </w:r>
      <w:r>
        <w:rPr>
          <w:spacing w:val="2"/>
          <w:sz w:val="32"/>
        </w:rPr>
        <w:t>分钟，高中阶段也</w:t>
      </w:r>
      <w:r>
        <w:rPr>
          <w:sz w:val="32"/>
        </w:rPr>
        <w:t>要合理安排作业时间。</w:t>
      </w:r>
    </w:p>
    <w:p>
      <w:pPr>
        <w:pStyle w:val="10"/>
        <w:numPr>
          <w:ilvl w:val="0"/>
          <w:numId w:val="22"/>
        </w:numPr>
        <w:tabs>
          <w:tab w:val="left" w:pos="1052"/>
        </w:tabs>
        <w:spacing w:before="5" w:after="0" w:line="350" w:lineRule="auto"/>
        <w:ind w:left="171" w:right="428" w:firstLine="638"/>
        <w:jc w:val="both"/>
        <w:rPr>
          <w:rFonts w:ascii="Times New Roman" w:eastAsia="Times New Roman"/>
          <w:sz w:val="32"/>
        </w:rPr>
      </w:pPr>
      <w:r>
        <w:rPr>
          <w:spacing w:val="-6"/>
          <w:sz w:val="32"/>
        </w:rPr>
        <w:t>全面推进义务教育学校免试就近入学全覆盖。坚决控制义</w:t>
      </w:r>
      <w:r>
        <w:rPr>
          <w:spacing w:val="-17"/>
          <w:sz w:val="32"/>
        </w:rPr>
        <w:t xml:space="preserve">务教育阶段校内统一考试次数，小学一二年级每学期不得超过 </w:t>
      </w:r>
      <w:r>
        <w:rPr>
          <w:rFonts w:ascii="Times New Roman" w:eastAsia="Times New Roman"/>
          <w:sz w:val="32"/>
        </w:rPr>
        <w:t>1</w:t>
      </w:r>
    </w:p>
    <w:p>
      <w:pPr>
        <w:pStyle w:val="3"/>
        <w:spacing w:before="3"/>
        <w:ind w:right="0" w:firstLine="0"/>
        <w:jc w:val="both"/>
      </w:pPr>
      <w:r>
        <w:t xml:space="preserve">次，其他年级每学期不得超过 </w:t>
      </w:r>
      <w:r>
        <w:rPr>
          <w:rFonts w:ascii="Times New Roman" w:eastAsia="Times New Roman"/>
        </w:rPr>
        <w:t xml:space="preserve">2 </w:t>
      </w:r>
      <w:r>
        <w:t>次。</w:t>
      </w:r>
    </w:p>
    <w:p>
      <w:pPr>
        <w:spacing w:after="0"/>
        <w:jc w:val="both"/>
        <w:sectPr>
          <w:pgSz w:w="11910" w:h="16840"/>
          <w:pgMar w:top="1540" w:right="1140" w:bottom="1380" w:left="1400" w:header="0" w:footer="1200" w:gutter="0"/>
        </w:sectPr>
      </w:pPr>
    </w:p>
    <w:p>
      <w:pPr>
        <w:pStyle w:val="10"/>
        <w:numPr>
          <w:ilvl w:val="0"/>
          <w:numId w:val="22"/>
        </w:numPr>
        <w:tabs>
          <w:tab w:val="left" w:pos="1052"/>
        </w:tabs>
        <w:spacing w:before="43" w:after="0" w:line="350" w:lineRule="auto"/>
        <w:ind w:left="171" w:right="427" w:firstLine="638"/>
        <w:jc w:val="both"/>
        <w:rPr>
          <w:sz w:val="32"/>
        </w:rPr>
      </w:pPr>
      <w:r>
        <w:rPr>
          <w:spacing w:val="-11"/>
          <w:sz w:val="32"/>
        </w:rPr>
        <w:t>改善教学设施和条件，为学生提供符合健康要求的学习环</w:t>
      </w:r>
      <w:r>
        <w:rPr>
          <w:spacing w:val="-12"/>
          <w:sz w:val="32"/>
        </w:rPr>
        <w:t>境。加快消除</w:t>
      </w:r>
      <w:r>
        <w:rPr>
          <w:rFonts w:ascii="Times New Roman" w:hAnsi="Times New Roman" w:eastAsia="Times New Roman"/>
          <w:sz w:val="32"/>
        </w:rPr>
        <w:t>“</w:t>
      </w:r>
      <w:r>
        <w:rPr>
          <w:sz w:val="32"/>
        </w:rPr>
        <w:t>大班额</w:t>
      </w:r>
      <w:r>
        <w:rPr>
          <w:rFonts w:ascii="Times New Roman" w:hAnsi="Times New Roman" w:eastAsia="Times New Roman"/>
          <w:sz w:val="32"/>
        </w:rPr>
        <w:t>”</w:t>
      </w:r>
      <w:r>
        <w:rPr>
          <w:spacing w:val="-12"/>
          <w:sz w:val="32"/>
        </w:rPr>
        <w:t>现象。每月调整学生座位，每学期对学生课桌椅高度进行个性化调整，使其适应学生生长发育变化。</w:t>
      </w:r>
    </w:p>
    <w:p>
      <w:pPr>
        <w:pStyle w:val="10"/>
        <w:numPr>
          <w:ilvl w:val="0"/>
          <w:numId w:val="22"/>
        </w:numPr>
        <w:tabs>
          <w:tab w:val="left" w:pos="1060"/>
        </w:tabs>
        <w:spacing w:before="4" w:after="0" w:line="350" w:lineRule="auto"/>
        <w:ind w:left="171" w:right="429" w:firstLine="638"/>
        <w:jc w:val="both"/>
        <w:rPr>
          <w:sz w:val="32"/>
        </w:rPr>
      </w:pPr>
      <w:r>
        <w:rPr>
          <w:spacing w:val="1"/>
          <w:sz w:val="32"/>
        </w:rPr>
        <w:t xml:space="preserve">中小学校要严格组织全体学生每天上下午各做 </w:t>
      </w:r>
      <w:r>
        <w:rPr>
          <w:rFonts w:ascii="Times New Roman" w:eastAsia="Times New Roman"/>
          <w:sz w:val="32"/>
        </w:rPr>
        <w:t xml:space="preserve">1 </w:t>
      </w:r>
      <w:r>
        <w:rPr>
          <w:spacing w:val="6"/>
          <w:sz w:val="32"/>
        </w:rPr>
        <w:t>次眼保</w:t>
      </w:r>
      <w:r>
        <w:rPr>
          <w:spacing w:val="4"/>
          <w:w w:val="95"/>
          <w:sz w:val="32"/>
        </w:rPr>
        <w:t xml:space="preserve">健操。教师要教会学生掌握正确的执笔姿势，督促学生读写时 坐姿端正，监督并随时纠正学生不良读写姿势。教师发现学生 </w:t>
      </w:r>
      <w:r>
        <w:rPr>
          <w:sz w:val="32"/>
        </w:rPr>
        <w:t>出现看不清黑板、经常揉眼睛等迹象时，要了解其视力情况。</w:t>
      </w:r>
    </w:p>
    <w:p>
      <w:pPr>
        <w:pStyle w:val="10"/>
        <w:numPr>
          <w:ilvl w:val="0"/>
          <w:numId w:val="22"/>
        </w:numPr>
        <w:tabs>
          <w:tab w:val="left" w:pos="1052"/>
        </w:tabs>
        <w:spacing w:before="6" w:after="0" w:line="350" w:lineRule="auto"/>
        <w:ind w:left="171" w:right="429" w:firstLine="638"/>
        <w:jc w:val="both"/>
        <w:rPr>
          <w:sz w:val="32"/>
        </w:rPr>
      </w:pPr>
      <w:r>
        <w:rPr>
          <w:spacing w:val="-15"/>
          <w:sz w:val="32"/>
        </w:rPr>
        <w:t xml:space="preserve">强化体育课和课外锻炼，确保中小学生在校时每天 </w:t>
      </w:r>
      <w:r>
        <w:rPr>
          <w:rFonts w:ascii="Times New Roman" w:eastAsia="Times New Roman"/>
          <w:sz w:val="32"/>
        </w:rPr>
        <w:t>1</w:t>
      </w:r>
      <w:r>
        <w:rPr>
          <w:rFonts w:ascii="Times New Roman" w:eastAsia="Times New Roman"/>
          <w:spacing w:val="-5"/>
          <w:sz w:val="32"/>
        </w:rPr>
        <w:t xml:space="preserve"> </w:t>
      </w:r>
      <w:r>
        <w:rPr>
          <w:sz w:val="32"/>
        </w:rPr>
        <w:t>小时</w:t>
      </w:r>
      <w:r>
        <w:rPr>
          <w:spacing w:val="4"/>
          <w:w w:val="95"/>
          <w:sz w:val="32"/>
        </w:rPr>
        <w:t xml:space="preserve">以上体育活动时间。严格落实国家体育与健康课程标准，确保 </w:t>
      </w:r>
      <w:r>
        <w:rPr>
          <w:spacing w:val="-6"/>
          <w:sz w:val="32"/>
        </w:rPr>
        <w:t xml:space="preserve">小学一二年级每周 </w:t>
      </w:r>
      <w:r>
        <w:rPr>
          <w:rFonts w:ascii="Times New Roman" w:eastAsia="Times New Roman"/>
          <w:sz w:val="32"/>
        </w:rPr>
        <w:t>4</w:t>
      </w:r>
      <w:r>
        <w:rPr>
          <w:rFonts w:ascii="Times New Roman" w:eastAsia="Times New Roman"/>
          <w:spacing w:val="-1"/>
          <w:sz w:val="32"/>
        </w:rPr>
        <w:t xml:space="preserve"> </w:t>
      </w:r>
      <w:r>
        <w:rPr>
          <w:spacing w:val="-2"/>
          <w:sz w:val="32"/>
        </w:rPr>
        <w:t xml:space="preserve">课时，三至六年级和初中每周 </w:t>
      </w:r>
      <w:r>
        <w:rPr>
          <w:rFonts w:ascii="Times New Roman" w:eastAsia="Times New Roman"/>
          <w:sz w:val="32"/>
        </w:rPr>
        <w:t>3</w:t>
      </w:r>
      <w:r>
        <w:rPr>
          <w:rFonts w:ascii="Times New Roman" w:eastAsia="Times New Roman"/>
          <w:spacing w:val="-1"/>
          <w:sz w:val="32"/>
        </w:rPr>
        <w:t xml:space="preserve"> </w:t>
      </w:r>
      <w:r>
        <w:rPr>
          <w:sz w:val="32"/>
        </w:rPr>
        <w:t>课时，高</w:t>
      </w:r>
    </w:p>
    <w:p>
      <w:pPr>
        <w:pStyle w:val="3"/>
        <w:spacing w:before="4" w:line="350" w:lineRule="auto"/>
        <w:ind w:right="270" w:firstLine="0"/>
      </w:pPr>
      <w:r>
        <w:rPr>
          <w:spacing w:val="-16"/>
        </w:rPr>
        <w:t xml:space="preserve">中阶段每周 </w:t>
      </w:r>
      <w:r>
        <w:rPr>
          <w:rFonts w:ascii="Times New Roman" w:eastAsia="Times New Roman"/>
        </w:rPr>
        <w:t xml:space="preserve">2 </w:t>
      </w:r>
      <w:r>
        <w:rPr>
          <w:spacing w:val="-24"/>
        </w:rPr>
        <w:t xml:space="preserve">课时。中小学校每天安排 </w:t>
      </w:r>
      <w:r>
        <w:rPr>
          <w:rFonts w:ascii="Times New Roman" w:eastAsia="Times New Roman"/>
        </w:rPr>
        <w:t xml:space="preserve">30 </w:t>
      </w:r>
      <w:r>
        <w:t>分钟大课间体育活动。</w:t>
      </w:r>
      <w:r>
        <w:rPr>
          <w:spacing w:val="4"/>
        </w:rPr>
        <w:t>有序组织和督促学生在课间时到室外活动或远眺，防止学生持续疲劳用眼。</w:t>
      </w:r>
    </w:p>
    <w:p>
      <w:pPr>
        <w:pStyle w:val="10"/>
        <w:numPr>
          <w:ilvl w:val="0"/>
          <w:numId w:val="22"/>
        </w:numPr>
        <w:tabs>
          <w:tab w:val="left" w:pos="1052"/>
        </w:tabs>
        <w:spacing w:before="4" w:after="0" w:line="350" w:lineRule="auto"/>
        <w:ind w:left="171" w:right="429" w:firstLine="638"/>
        <w:jc w:val="both"/>
        <w:rPr>
          <w:sz w:val="32"/>
        </w:rPr>
      </w:pPr>
      <w:r>
        <w:rPr>
          <w:spacing w:val="-10"/>
          <w:sz w:val="32"/>
        </w:rPr>
        <w:t>根据学校教育的不同阶段，设置相应的体育与健康教育课</w:t>
      </w:r>
      <w:r>
        <w:rPr>
          <w:spacing w:val="4"/>
          <w:w w:val="95"/>
          <w:sz w:val="32"/>
        </w:rPr>
        <w:t xml:space="preserve">程，向学生教授健康行为与生活方式、疾病防控、心理健康、 生长发育与青春期保健、安全应急与避险等知识，提高学生健 康素养，积极利用多种形式对学生和家长开展健康教育。培训 </w:t>
      </w:r>
      <w:r>
        <w:rPr>
          <w:sz w:val="32"/>
        </w:rPr>
        <w:t>培养健康教育教师，开发和拓展健康教育课程资源。</w:t>
      </w:r>
    </w:p>
    <w:p>
      <w:pPr>
        <w:pStyle w:val="10"/>
        <w:numPr>
          <w:ilvl w:val="0"/>
          <w:numId w:val="22"/>
        </w:numPr>
        <w:tabs>
          <w:tab w:val="left" w:pos="1052"/>
        </w:tabs>
        <w:spacing w:before="7" w:after="0" w:line="350" w:lineRule="auto"/>
        <w:ind w:left="171" w:right="429" w:firstLine="638"/>
        <w:jc w:val="both"/>
        <w:rPr>
          <w:sz w:val="32"/>
        </w:rPr>
      </w:pPr>
      <w:r>
        <w:rPr>
          <w:spacing w:val="-7"/>
          <w:sz w:val="32"/>
        </w:rPr>
        <w:t>指导学生科学规范使用电子屏幕产品，养成信息化环境下</w:t>
      </w:r>
      <w:r>
        <w:rPr>
          <w:spacing w:val="4"/>
          <w:w w:val="95"/>
          <w:sz w:val="32"/>
        </w:rPr>
        <w:t xml:space="preserve">良好的学习和用眼卫生习惯。严禁学生将个人手机、平板电脑 等电子屏幕产品带入课堂，带入学校的要进行统一保管。使用 </w:t>
      </w:r>
      <w:r>
        <w:rPr>
          <w:spacing w:val="-2"/>
          <w:sz w:val="32"/>
        </w:rPr>
        <w:t xml:space="preserve">电子屏幕产品开展教学时长原则上不超过教学总时长的 </w:t>
      </w:r>
      <w:r>
        <w:rPr>
          <w:rFonts w:ascii="Times New Roman" w:eastAsia="Times New Roman"/>
          <w:spacing w:val="-3"/>
          <w:sz w:val="32"/>
        </w:rPr>
        <w:t>30%</w:t>
      </w:r>
      <w:r>
        <w:rPr>
          <w:spacing w:val="-3"/>
          <w:sz w:val="32"/>
        </w:rPr>
        <w:t xml:space="preserve">， </w:t>
      </w:r>
      <w:r>
        <w:rPr>
          <w:sz w:val="32"/>
        </w:rPr>
        <w:t>原则上采用纸质作业。</w:t>
      </w:r>
    </w:p>
    <w:p>
      <w:pPr>
        <w:spacing w:after="0" w:line="350" w:lineRule="auto"/>
        <w:jc w:val="both"/>
        <w:rPr>
          <w:sz w:val="32"/>
        </w:rPr>
        <w:sectPr>
          <w:pgSz w:w="11910" w:h="16840"/>
          <w:pgMar w:top="1540" w:right="1140" w:bottom="1380" w:left="1400" w:header="0" w:footer="1200" w:gutter="0"/>
        </w:sectPr>
      </w:pPr>
    </w:p>
    <w:p>
      <w:pPr>
        <w:pStyle w:val="10"/>
        <w:numPr>
          <w:ilvl w:val="0"/>
          <w:numId w:val="22"/>
        </w:numPr>
        <w:tabs>
          <w:tab w:val="left" w:pos="1052"/>
        </w:tabs>
        <w:spacing w:before="43" w:after="0" w:line="350" w:lineRule="auto"/>
        <w:ind w:left="171" w:right="270" w:firstLine="638"/>
        <w:jc w:val="left"/>
        <w:rPr>
          <w:sz w:val="32"/>
        </w:rPr>
      </w:pPr>
      <w:r>
        <w:rPr>
          <w:spacing w:val="-5"/>
          <w:sz w:val="32"/>
        </w:rPr>
        <w:t>加强医务室</w:t>
      </w:r>
      <w:r>
        <w:rPr>
          <w:sz w:val="32"/>
        </w:rPr>
        <w:t>（</w:t>
      </w:r>
      <w:r>
        <w:rPr>
          <w:spacing w:val="-8"/>
          <w:sz w:val="32"/>
        </w:rPr>
        <w:t>卫生室、校医院、保健室等</w:t>
      </w:r>
      <w:r>
        <w:rPr>
          <w:spacing w:val="-22"/>
          <w:sz w:val="32"/>
        </w:rPr>
        <w:t>）</w:t>
      </w:r>
      <w:r>
        <w:rPr>
          <w:spacing w:val="-5"/>
          <w:sz w:val="32"/>
        </w:rPr>
        <w:t>力量，按标准</w:t>
      </w:r>
      <w:r>
        <w:rPr>
          <w:spacing w:val="4"/>
          <w:sz w:val="32"/>
        </w:rPr>
        <w:t>配备校医和必要的设备。加强中小学校重点传染病防治知识宣传和防控工作，严格落实学校入学体检和因病缺勤病因追查及登记制度，减少学校流行性感冒、结核病等传染病聚集性疫情发生。严格落实学生健康体检制度，提醒身体健康状况有问题的学生到医疗机构检查。加强对学生营养管理和营养指导，开</w:t>
      </w:r>
      <w:r>
        <w:rPr>
          <w:sz w:val="32"/>
        </w:rPr>
        <w:t xml:space="preserve">展针对学生的营养健康教育，中小学校食堂禁止提供高糖食品， </w:t>
      </w:r>
      <w:r>
        <w:rPr>
          <w:spacing w:val="4"/>
          <w:sz w:val="32"/>
        </w:rPr>
        <w:t>校园内限制销售含糖饮料并避免售卖高盐、高糖及高脂食品， 培养健康的饮食行为习惯。</w:t>
      </w:r>
    </w:p>
    <w:p>
      <w:pPr>
        <w:pStyle w:val="10"/>
        <w:numPr>
          <w:ilvl w:val="0"/>
          <w:numId w:val="22"/>
        </w:numPr>
        <w:tabs>
          <w:tab w:val="left" w:pos="1052"/>
        </w:tabs>
        <w:spacing w:before="12" w:after="0" w:line="350" w:lineRule="auto"/>
        <w:ind w:left="171" w:right="314" w:firstLine="638"/>
        <w:jc w:val="left"/>
        <w:rPr>
          <w:sz w:val="32"/>
        </w:rPr>
      </w:pPr>
      <w:r>
        <w:rPr>
          <w:sz w:val="32"/>
        </w:rPr>
        <w:t>中小学校配备专兼职心理健康工作人员。关心留守儿童、流动儿童心理健康，为学生提供及时的心理干预。</w:t>
      </w:r>
    </w:p>
    <w:p>
      <w:pPr>
        <w:pStyle w:val="2"/>
        <w:spacing w:before="3"/>
        <w:rPr>
          <w:rFonts w:hint="eastAsia" w:ascii="仿宋" w:hAnsi="仿宋" w:eastAsia="仿宋"/>
        </w:rPr>
      </w:pPr>
      <w:bookmarkStart w:id="53" w:name="——政府："/>
      <w:bookmarkEnd w:id="53"/>
      <w:r>
        <w:rPr>
          <w:rFonts w:ascii="Times New Roman" w:hAnsi="Times New Roman" w:eastAsia="Times New Roman"/>
        </w:rPr>
        <w:t>——</w:t>
      </w:r>
      <w:r>
        <w:rPr>
          <w:rFonts w:hint="eastAsia" w:ascii="仿宋" w:hAnsi="仿宋" w:eastAsia="仿宋"/>
        </w:rPr>
        <w:t>政府：</w:t>
      </w:r>
    </w:p>
    <w:p>
      <w:pPr>
        <w:pStyle w:val="10"/>
        <w:numPr>
          <w:ilvl w:val="0"/>
          <w:numId w:val="23"/>
        </w:numPr>
        <w:tabs>
          <w:tab w:val="left" w:pos="1052"/>
        </w:tabs>
        <w:spacing w:before="190" w:after="0" w:line="350" w:lineRule="auto"/>
        <w:ind w:left="171" w:right="429" w:firstLine="638"/>
        <w:jc w:val="both"/>
        <w:rPr>
          <w:rFonts w:hint="eastAsia" w:ascii="楷体" w:hAnsi="楷体" w:eastAsia="楷体"/>
          <w:sz w:val="32"/>
        </w:rPr>
      </w:pPr>
      <w:r>
        <w:rPr>
          <w:spacing w:val="-11"/>
          <w:w w:val="95"/>
          <w:sz w:val="32"/>
        </w:rPr>
        <w:t xml:space="preserve">研究修订《学校卫生工作条例》和《中小学健康教育指导 </w:t>
      </w:r>
      <w:r>
        <w:rPr>
          <w:spacing w:val="4"/>
          <w:w w:val="95"/>
          <w:sz w:val="32"/>
        </w:rPr>
        <w:t xml:space="preserve">纲要》等，制定《学校食品安全和营养健康管理规定》等，进 一步健全学校体育卫生发展制度和体系。制定健康学校标准， 开展健康学校建设。深化学校体育、健康教育教学改革，全国 中小学普遍开设体育与健康教育课程。根据学生的成长规律和 特点，分阶段确定健康教育内容并纳入评价范围，做到教学计 </w:t>
      </w:r>
      <w:r>
        <w:rPr>
          <w:spacing w:val="-10"/>
          <w:w w:val="95"/>
          <w:sz w:val="32"/>
        </w:rPr>
        <w:t>划、教学材料、课时、师资</w:t>
      </w:r>
      <w:r>
        <w:rPr>
          <w:rFonts w:ascii="Times New Roman" w:hAnsi="Times New Roman" w:eastAsia="Times New Roman"/>
          <w:w w:val="95"/>
          <w:sz w:val="32"/>
        </w:rPr>
        <w:t>“</w:t>
      </w:r>
      <w:r>
        <w:rPr>
          <w:w w:val="95"/>
          <w:sz w:val="32"/>
        </w:rPr>
        <w:t>四到位</w:t>
      </w:r>
      <w:r>
        <w:rPr>
          <w:rFonts w:ascii="Times New Roman" w:hAnsi="Times New Roman" w:eastAsia="Times New Roman"/>
          <w:spacing w:val="-14"/>
          <w:w w:val="95"/>
          <w:sz w:val="32"/>
        </w:rPr>
        <w:t>”</w:t>
      </w:r>
      <w:r>
        <w:rPr>
          <w:spacing w:val="-9"/>
          <w:w w:val="95"/>
          <w:sz w:val="32"/>
        </w:rPr>
        <w:t>，逐步覆盖所有学生。</w:t>
      </w:r>
      <w:r>
        <w:rPr>
          <w:rFonts w:hint="eastAsia" w:ascii="楷体" w:hAnsi="楷体" w:eastAsia="楷体"/>
          <w:w w:val="95"/>
          <w:sz w:val="32"/>
        </w:rPr>
        <w:t xml:space="preserve">（教 </w:t>
      </w:r>
      <w:r>
        <w:rPr>
          <w:rFonts w:hint="eastAsia" w:ascii="楷体" w:hAnsi="楷体" w:eastAsia="楷体"/>
          <w:sz w:val="32"/>
        </w:rPr>
        <w:t>育部牵头，卫生健康委等按职责分工负责）</w:t>
      </w:r>
    </w:p>
    <w:p>
      <w:pPr>
        <w:pStyle w:val="10"/>
        <w:numPr>
          <w:ilvl w:val="0"/>
          <w:numId w:val="23"/>
        </w:numPr>
        <w:tabs>
          <w:tab w:val="left" w:pos="1052"/>
        </w:tabs>
        <w:spacing w:before="11" w:after="0" w:line="350" w:lineRule="auto"/>
        <w:ind w:left="171" w:right="429" w:firstLine="638"/>
        <w:jc w:val="both"/>
        <w:rPr>
          <w:sz w:val="32"/>
        </w:rPr>
      </w:pPr>
      <w:r>
        <w:rPr>
          <w:spacing w:val="-8"/>
          <w:sz w:val="32"/>
        </w:rPr>
        <w:t>加强现有中小学卫生保健机构建设，按照标准和要求强化</w:t>
      </w:r>
      <w:r>
        <w:rPr>
          <w:spacing w:val="4"/>
          <w:w w:val="95"/>
          <w:sz w:val="32"/>
        </w:rPr>
        <w:t>人员和设备配备。保障师生在校用餐食品安全和营养健康，加 强义务教育学校食堂建设。坚决治理规范校外培训机构，每年</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jc w:val="both"/>
        <w:rPr>
          <w:rFonts w:hint="eastAsia" w:ascii="楷体" w:eastAsia="楷体"/>
        </w:rPr>
      </w:pPr>
      <w:r>
        <w:rPr>
          <w:spacing w:val="4"/>
          <w:w w:val="95"/>
        </w:rPr>
        <w:t xml:space="preserve">对校外培训机构教室采光照明、课桌椅配备、电子屏幕产品等 </w:t>
      </w:r>
      <w:r>
        <w:rPr>
          <w:spacing w:val="5"/>
          <w:w w:val="95"/>
        </w:rPr>
        <w:t>达标情况开展全覆盖专项检查。</w:t>
      </w:r>
      <w:r>
        <w:rPr>
          <w:rFonts w:hint="eastAsia" w:ascii="楷体" w:eastAsia="楷体"/>
          <w:spacing w:val="5"/>
          <w:w w:val="95"/>
        </w:rPr>
        <w:t>（</w:t>
      </w:r>
      <w:r>
        <w:rPr>
          <w:rFonts w:hint="eastAsia" w:ascii="楷体" w:eastAsia="楷体"/>
          <w:spacing w:val="3"/>
          <w:w w:val="95"/>
        </w:rPr>
        <w:t xml:space="preserve">教育部牵头，卫生健康委按 </w:t>
      </w:r>
      <w:r>
        <w:rPr>
          <w:rFonts w:hint="eastAsia" w:ascii="楷体" w:eastAsia="楷体"/>
        </w:rPr>
        <w:t>职责负责）</w:t>
      </w:r>
    </w:p>
    <w:p>
      <w:pPr>
        <w:pStyle w:val="10"/>
        <w:numPr>
          <w:ilvl w:val="0"/>
          <w:numId w:val="23"/>
        </w:numPr>
        <w:tabs>
          <w:tab w:val="left" w:pos="1060"/>
        </w:tabs>
        <w:spacing w:before="4" w:after="0" w:line="350" w:lineRule="auto"/>
        <w:ind w:left="171" w:right="429" w:firstLine="638"/>
        <w:jc w:val="both"/>
        <w:rPr>
          <w:rFonts w:hint="eastAsia" w:ascii="楷体" w:hAnsi="楷体" w:eastAsia="楷体"/>
          <w:sz w:val="32"/>
        </w:rPr>
      </w:pPr>
      <w:r>
        <w:rPr>
          <w:spacing w:val="6"/>
          <w:w w:val="95"/>
          <w:sz w:val="32"/>
        </w:rPr>
        <w:t xml:space="preserve">全面加强全国儿童青少年视力健康及其相关危险因素监 </w:t>
      </w:r>
      <w:r>
        <w:rPr>
          <w:spacing w:val="4"/>
          <w:w w:val="95"/>
          <w:sz w:val="32"/>
        </w:rPr>
        <w:t xml:space="preserve">测网络、数据收集与信息化建设。组建全国儿童青少年近视防 治和视力健康专家队伍，科学指导儿童青少年近视防治和视力 健康管理工作。按照采光和照明国家有关标准要求，对学校、 </w:t>
      </w:r>
      <w:r>
        <w:rPr>
          <w:spacing w:val="-7"/>
          <w:w w:val="95"/>
          <w:sz w:val="32"/>
        </w:rPr>
        <w:t>托幼机构和校外培训机构教室</w:t>
      </w:r>
      <w:r>
        <w:rPr>
          <w:w w:val="95"/>
          <w:sz w:val="32"/>
        </w:rPr>
        <w:t>（教学场所</w:t>
      </w:r>
      <w:r>
        <w:rPr>
          <w:spacing w:val="-79"/>
          <w:w w:val="95"/>
          <w:sz w:val="32"/>
        </w:rPr>
        <w:t>）</w:t>
      </w:r>
      <w:r>
        <w:rPr>
          <w:w w:val="95"/>
          <w:sz w:val="32"/>
        </w:rPr>
        <w:t>以</w:t>
      </w:r>
      <w:r>
        <w:rPr>
          <w:rFonts w:ascii="Times New Roman" w:hAnsi="Times New Roman" w:eastAsia="Times New Roman"/>
          <w:w w:val="95"/>
          <w:sz w:val="32"/>
        </w:rPr>
        <w:t>“</w:t>
      </w:r>
      <w:r>
        <w:rPr>
          <w:w w:val="95"/>
          <w:sz w:val="32"/>
        </w:rPr>
        <w:t>双随机</w:t>
      </w:r>
      <w:r>
        <w:rPr>
          <w:rFonts w:ascii="Times New Roman" w:hAnsi="Times New Roman" w:eastAsia="Times New Roman"/>
          <w:w w:val="95"/>
          <w:sz w:val="32"/>
        </w:rPr>
        <w:t>”</w:t>
      </w:r>
      <w:r>
        <w:rPr>
          <w:w w:val="95"/>
          <w:sz w:val="32"/>
        </w:rPr>
        <w:t xml:space="preserve">方式进行 </w:t>
      </w:r>
      <w:r>
        <w:rPr>
          <w:spacing w:val="4"/>
          <w:w w:val="95"/>
          <w:sz w:val="32"/>
        </w:rPr>
        <w:t xml:space="preserve">抽检、记录并公布。建立基层医疗卫生机构包片联系中小学校 </w:t>
      </w:r>
      <w:r>
        <w:rPr>
          <w:sz w:val="32"/>
        </w:rPr>
        <w:t>制度。</w:t>
      </w:r>
      <w:r>
        <w:rPr>
          <w:rFonts w:hint="eastAsia" w:ascii="楷体" w:hAnsi="楷体" w:eastAsia="楷体"/>
          <w:sz w:val="32"/>
        </w:rPr>
        <w:t>（卫生健康委牵头，教育部按职责负责）</w:t>
      </w:r>
    </w:p>
    <w:p>
      <w:pPr>
        <w:pStyle w:val="10"/>
        <w:numPr>
          <w:ilvl w:val="0"/>
          <w:numId w:val="23"/>
        </w:numPr>
        <w:tabs>
          <w:tab w:val="left" w:pos="1052"/>
        </w:tabs>
        <w:spacing w:before="10" w:after="0" w:line="350" w:lineRule="auto"/>
        <w:ind w:left="171" w:right="429" w:firstLine="638"/>
        <w:jc w:val="both"/>
        <w:rPr>
          <w:rFonts w:hint="eastAsia" w:ascii="楷体" w:eastAsia="楷体"/>
          <w:sz w:val="32"/>
        </w:rPr>
      </w:pPr>
      <w:r>
        <w:rPr>
          <w:spacing w:val="-5"/>
          <w:sz w:val="32"/>
        </w:rPr>
        <w:t>积极引导支持社会力量开展各类儿童青少年体育活动，有</w:t>
      </w:r>
      <w:r>
        <w:rPr>
          <w:spacing w:val="5"/>
          <w:w w:val="95"/>
          <w:sz w:val="32"/>
        </w:rPr>
        <w:t>针对性地开展各类冬（</w:t>
      </w:r>
      <w:r>
        <w:rPr>
          <w:spacing w:val="7"/>
          <w:w w:val="95"/>
          <w:sz w:val="32"/>
        </w:rPr>
        <w:t>夏</w:t>
      </w:r>
      <w:r>
        <w:rPr>
          <w:spacing w:val="5"/>
          <w:w w:val="95"/>
          <w:sz w:val="32"/>
        </w:rPr>
        <w:t>）</w:t>
      </w:r>
      <w:r>
        <w:rPr>
          <w:spacing w:val="3"/>
          <w:w w:val="95"/>
          <w:sz w:val="32"/>
        </w:rPr>
        <w:t xml:space="preserve">令营、训练营和体育赛事等，吸引 </w:t>
      </w:r>
      <w:r>
        <w:rPr>
          <w:spacing w:val="5"/>
          <w:w w:val="95"/>
          <w:sz w:val="32"/>
        </w:rPr>
        <w:t>儿童青少年广泛参加体育运动。</w:t>
      </w:r>
      <w:r>
        <w:rPr>
          <w:rFonts w:hint="eastAsia" w:ascii="楷体" w:eastAsia="楷体"/>
          <w:spacing w:val="5"/>
          <w:w w:val="95"/>
          <w:sz w:val="32"/>
        </w:rPr>
        <w:t>（</w:t>
      </w:r>
      <w:r>
        <w:rPr>
          <w:rFonts w:hint="eastAsia" w:ascii="楷体" w:eastAsia="楷体"/>
          <w:spacing w:val="3"/>
          <w:w w:val="95"/>
          <w:sz w:val="32"/>
        </w:rPr>
        <w:t xml:space="preserve">发展改革委、教育部、体育 </w:t>
      </w:r>
      <w:r>
        <w:rPr>
          <w:rFonts w:hint="eastAsia" w:ascii="楷体" w:eastAsia="楷体"/>
          <w:sz w:val="32"/>
        </w:rPr>
        <w:t>总局、共青团中央按职责分工负责）</w:t>
      </w:r>
    </w:p>
    <w:p>
      <w:pPr>
        <w:pStyle w:val="10"/>
        <w:numPr>
          <w:ilvl w:val="0"/>
          <w:numId w:val="23"/>
        </w:numPr>
        <w:tabs>
          <w:tab w:val="left" w:pos="1052"/>
        </w:tabs>
        <w:spacing w:before="5" w:after="0" w:line="350" w:lineRule="auto"/>
        <w:ind w:left="171" w:right="108" w:firstLine="638"/>
        <w:jc w:val="left"/>
        <w:rPr>
          <w:rFonts w:hint="eastAsia" w:ascii="楷体" w:eastAsia="楷体"/>
          <w:sz w:val="32"/>
        </w:rPr>
      </w:pPr>
      <w:r>
        <w:rPr>
          <w:spacing w:val="-11"/>
          <w:sz w:val="32"/>
        </w:rPr>
        <w:t xml:space="preserve">实施网络游戏总量调控，控制新增网络游戏上网运营数量， </w:t>
      </w:r>
      <w:r>
        <w:rPr>
          <w:spacing w:val="4"/>
          <w:sz w:val="32"/>
        </w:rPr>
        <w:t>鼓励研发传播集知识性、教育性、原创性、技能性、趣味性于一体的优秀网络游戏作品，探索符合国情的适龄提示制度，采</w:t>
      </w:r>
      <w:r>
        <w:rPr>
          <w:spacing w:val="5"/>
          <w:sz w:val="32"/>
        </w:rPr>
        <w:t>取措施限制未成年人使用时间。</w:t>
      </w:r>
      <w:r>
        <w:rPr>
          <w:rFonts w:hint="eastAsia" w:ascii="楷体" w:eastAsia="楷体"/>
          <w:spacing w:val="5"/>
          <w:sz w:val="32"/>
        </w:rPr>
        <w:t>（</w:t>
      </w:r>
      <w:r>
        <w:rPr>
          <w:rFonts w:hint="eastAsia" w:ascii="楷体" w:eastAsia="楷体"/>
          <w:spacing w:val="4"/>
          <w:sz w:val="32"/>
        </w:rPr>
        <w:t>中央网信办、工业和信息化部、国家新闻出版署按职责分工负责）</w:t>
      </w:r>
    </w:p>
    <w:p>
      <w:pPr>
        <w:pStyle w:val="10"/>
        <w:numPr>
          <w:ilvl w:val="0"/>
          <w:numId w:val="23"/>
        </w:numPr>
        <w:tabs>
          <w:tab w:val="left" w:pos="1052"/>
        </w:tabs>
        <w:spacing w:before="7" w:after="0" w:line="350" w:lineRule="auto"/>
        <w:ind w:left="171" w:right="270" w:firstLine="638"/>
        <w:jc w:val="both"/>
        <w:rPr>
          <w:sz w:val="32"/>
        </w:rPr>
      </w:pPr>
      <w:r>
        <w:rPr>
          <w:spacing w:val="-6"/>
          <w:sz w:val="32"/>
        </w:rPr>
        <w:t>完善学生健康体检制度和学生体质健康监测制度。把学校</w:t>
      </w:r>
      <w:r>
        <w:rPr>
          <w:spacing w:val="4"/>
          <w:sz w:val="32"/>
        </w:rPr>
        <w:t>体育工作和学生体质健康状况纳入对地方政府、教育行政部门</w:t>
      </w:r>
      <w:r>
        <w:rPr>
          <w:spacing w:val="3"/>
          <w:sz w:val="32"/>
        </w:rPr>
        <w:t>和学校的考核评价体系，与学校负责人奖惩挂钩。把学生健康</w:t>
      </w:r>
      <w:r>
        <w:rPr>
          <w:spacing w:val="-5"/>
          <w:w w:val="95"/>
          <w:sz w:val="32"/>
        </w:rPr>
        <w:t>知识、急救知识，特别是心肺复苏纳入考试内容，把健康知识、</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jc w:val="both"/>
        <w:rPr>
          <w:rFonts w:hint="eastAsia" w:ascii="楷体" w:eastAsia="楷体"/>
        </w:rPr>
      </w:pPr>
      <w:r>
        <w:rPr>
          <w:spacing w:val="4"/>
          <w:w w:val="95"/>
        </w:rPr>
        <w:t xml:space="preserve">急救知识的掌握程度和体质健康测试情况作为学校学生评优评 先、毕业考核和升学的重要指标，将高中体育科目纳入高中学 业水平测试或高考综合评价体系，鼓励高校探索在特殊类型招 </w:t>
      </w:r>
      <w:r>
        <w:rPr>
          <w:spacing w:val="5"/>
          <w:w w:val="95"/>
        </w:rPr>
        <w:t>生中增设体育科目测试。</w:t>
      </w:r>
      <w:r>
        <w:rPr>
          <w:rFonts w:hint="eastAsia" w:ascii="楷体" w:eastAsia="楷体"/>
          <w:spacing w:val="5"/>
          <w:w w:val="95"/>
        </w:rPr>
        <w:t>（</w:t>
      </w:r>
      <w:r>
        <w:rPr>
          <w:rFonts w:hint="eastAsia" w:ascii="楷体" w:eastAsia="楷体"/>
          <w:spacing w:val="3"/>
          <w:w w:val="95"/>
        </w:rPr>
        <w:t xml:space="preserve">教育部牵头，卫生健康委按职责负 </w:t>
      </w:r>
      <w:r>
        <w:rPr>
          <w:rFonts w:hint="eastAsia" w:ascii="楷体" w:eastAsia="楷体"/>
        </w:rPr>
        <w:t>责）</w:t>
      </w:r>
    </w:p>
    <w:p>
      <w:pPr>
        <w:pStyle w:val="2"/>
        <w:spacing w:before="7"/>
      </w:pPr>
      <w:bookmarkStart w:id="54" w:name="_TOC_250006"/>
      <w:bookmarkEnd w:id="54"/>
      <w:r>
        <w:t>（九）职业健康保护行动。</w:t>
      </w:r>
    </w:p>
    <w:p>
      <w:pPr>
        <w:pStyle w:val="3"/>
        <w:spacing w:before="190"/>
        <w:ind w:left="810" w:right="0" w:firstLine="0"/>
        <w:jc w:val="both"/>
      </w:pPr>
      <w:r>
        <w:t>我国是世界上劳动人口最多的国家，</w:t>
      </w:r>
      <w:r>
        <w:rPr>
          <w:rFonts w:ascii="Times New Roman" w:eastAsia="Times New Roman"/>
        </w:rPr>
        <w:t xml:space="preserve">2017 </w:t>
      </w:r>
      <w:r>
        <w:t>年我国就业人口</w:t>
      </w:r>
    </w:p>
    <w:p>
      <w:pPr>
        <w:pStyle w:val="10"/>
        <w:numPr>
          <w:ilvl w:val="1"/>
          <w:numId w:val="24"/>
        </w:numPr>
        <w:tabs>
          <w:tab w:val="left" w:pos="811"/>
        </w:tabs>
        <w:spacing w:before="190" w:after="0" w:line="350" w:lineRule="auto"/>
        <w:ind w:left="171" w:right="427" w:firstLine="0"/>
        <w:jc w:val="both"/>
        <w:rPr>
          <w:sz w:val="32"/>
        </w:rPr>
      </w:pPr>
      <w:r>
        <w:rPr>
          <w:spacing w:val="-20"/>
          <w:sz w:val="32"/>
        </w:rPr>
        <w:t xml:space="preserve">亿人，占总人口的 </w:t>
      </w:r>
      <w:r>
        <w:rPr>
          <w:rFonts w:ascii="Times New Roman" w:eastAsia="Times New Roman"/>
          <w:spacing w:val="-12"/>
          <w:sz w:val="32"/>
        </w:rPr>
        <w:t>55.8%</w:t>
      </w:r>
      <w:r>
        <w:rPr>
          <w:spacing w:val="-3"/>
          <w:sz w:val="32"/>
        </w:rPr>
        <w:t>，多数劳动者职业生涯超过其生命</w:t>
      </w:r>
      <w:r>
        <w:rPr>
          <w:spacing w:val="4"/>
          <w:w w:val="95"/>
          <w:sz w:val="32"/>
        </w:rPr>
        <w:t xml:space="preserve">周期的二分之一。工作场所接触各类危害因素引发的职业健康 问题依然严重，职业病防治形势严峻、复杂，新的职业健康危 害因素不断出现，疾病和工作压力导致的生理、心理等问题已 成为亟待应对的职业健康新挑战。实施职业健康保护行动，强 化政府监管职责，督促用人单位落实主体责任，提升职业健康 工作水平，有效预防和控制职业病危害，切实保障劳动者职业 健康权益，对维护全体劳动者身体健康、促进经济社会持续健 </w:t>
      </w:r>
      <w:r>
        <w:rPr>
          <w:sz w:val="32"/>
        </w:rPr>
        <w:t>康发展至关重要。</w:t>
      </w:r>
    </w:p>
    <w:p>
      <w:pPr>
        <w:pStyle w:val="3"/>
        <w:spacing w:before="12"/>
        <w:ind w:left="810" w:right="0" w:firstLine="0"/>
        <w:rPr>
          <w:rFonts w:hint="eastAsia" w:ascii="黑体" w:eastAsia="黑体"/>
        </w:rPr>
      </w:pPr>
      <w:r>
        <w:rPr>
          <w:rFonts w:hint="eastAsia" w:ascii="黑体" w:eastAsia="黑体"/>
        </w:rPr>
        <w:t>行动目标：</w:t>
      </w:r>
    </w:p>
    <w:p>
      <w:pPr>
        <w:pStyle w:val="3"/>
        <w:spacing w:before="190"/>
        <w:ind w:left="0" w:firstLine="0"/>
        <w:jc w:val="right"/>
      </w:pPr>
      <w:r>
        <w:rPr>
          <w:spacing w:val="-40"/>
        </w:rPr>
        <w:t xml:space="preserve">到 </w:t>
      </w:r>
      <w:r>
        <w:rPr>
          <w:rFonts w:ascii="Times New Roman" w:eastAsia="Times New Roman"/>
        </w:rPr>
        <w:t>2022</w:t>
      </w:r>
      <w:r>
        <w:rPr>
          <w:rFonts w:ascii="Times New Roman" w:eastAsia="Times New Roman"/>
          <w:spacing w:val="-1"/>
        </w:rPr>
        <w:t xml:space="preserve"> </w:t>
      </w:r>
      <w:r>
        <w:rPr>
          <w:spacing w:val="-25"/>
        </w:rPr>
        <w:t xml:space="preserve">年和 </w:t>
      </w:r>
      <w:r>
        <w:rPr>
          <w:rFonts w:ascii="Times New Roman" w:eastAsia="Times New Roman"/>
        </w:rPr>
        <w:t>2030</w:t>
      </w:r>
      <w:r>
        <w:rPr>
          <w:rFonts w:ascii="Times New Roman" w:eastAsia="Times New Roman"/>
          <w:spacing w:val="1"/>
        </w:rPr>
        <w:t xml:space="preserve"> </w:t>
      </w:r>
      <w:r>
        <w:rPr>
          <w:spacing w:val="4"/>
        </w:rPr>
        <w:t>年，劳动工时制度得到全面落实；工伤</w:t>
      </w:r>
    </w:p>
    <w:p>
      <w:pPr>
        <w:pStyle w:val="3"/>
        <w:spacing w:before="190"/>
        <w:ind w:left="0" w:firstLine="0"/>
        <w:jc w:val="right"/>
      </w:pPr>
      <w:r>
        <w:rPr>
          <w:spacing w:val="-10"/>
        </w:rPr>
        <w:t xml:space="preserve">保险参保人数稳步提升，并于 </w:t>
      </w:r>
      <w:r>
        <w:rPr>
          <w:rFonts w:ascii="Times New Roman" w:eastAsia="Times New Roman"/>
        </w:rPr>
        <w:t>2030</w:t>
      </w:r>
      <w:r>
        <w:rPr>
          <w:rFonts w:ascii="Times New Roman" w:eastAsia="Times New Roman"/>
          <w:spacing w:val="-6"/>
        </w:rPr>
        <w:t xml:space="preserve"> </w:t>
      </w:r>
      <w:r>
        <w:t>年实现工伤保险法定人群参</w:t>
      </w:r>
    </w:p>
    <w:p>
      <w:pPr>
        <w:pStyle w:val="3"/>
        <w:spacing w:before="190" w:line="350" w:lineRule="auto"/>
        <w:ind w:firstLine="0"/>
        <w:jc w:val="both"/>
      </w:pPr>
      <w:r>
        <w:rPr>
          <w:spacing w:val="-4"/>
        </w:rPr>
        <w:t xml:space="preserve">保全覆盖；接尘工龄不足 </w:t>
      </w:r>
      <w:r>
        <w:rPr>
          <w:rFonts w:ascii="Times New Roman" w:eastAsia="Times New Roman"/>
        </w:rPr>
        <w:t>5</w:t>
      </w:r>
      <w:r>
        <w:rPr>
          <w:rFonts w:ascii="Times New Roman" w:eastAsia="Times New Roman"/>
          <w:spacing w:val="-6"/>
        </w:rPr>
        <w:t xml:space="preserve"> </w:t>
      </w:r>
      <w:r>
        <w:rPr>
          <w:spacing w:val="3"/>
        </w:rPr>
        <w:t>年的劳动者新发尘肺病报告例数占</w:t>
      </w:r>
      <w:r>
        <w:rPr>
          <w:spacing w:val="3"/>
          <w:w w:val="95"/>
        </w:rPr>
        <w:t xml:space="preserve">年度报告总例数的比例实现明显下降并持续下降；辖区职业健 </w:t>
      </w:r>
      <w:r>
        <w:rPr>
          <w:spacing w:val="-5"/>
        </w:rPr>
        <w:t xml:space="preserve">康检查和职业病诊断服务覆盖率分别达到 </w:t>
      </w:r>
      <w:r>
        <w:rPr>
          <w:rFonts w:ascii="Times New Roman" w:eastAsia="Times New Roman"/>
        </w:rPr>
        <w:t>80%</w:t>
      </w:r>
      <w:r>
        <w:rPr>
          <w:spacing w:val="-15"/>
        </w:rPr>
        <w:t xml:space="preserve">及以上和 </w:t>
      </w:r>
      <w:r>
        <w:rPr>
          <w:rFonts w:ascii="Times New Roman" w:eastAsia="Times New Roman"/>
        </w:rPr>
        <w:t>90%</w:t>
      </w:r>
      <w:r>
        <w:t>及</w:t>
      </w:r>
      <w:r>
        <w:rPr>
          <w:spacing w:val="-1"/>
        </w:rPr>
        <w:t xml:space="preserve">以上；重点行业的用人单位职业病危害项目申报率达到 </w:t>
      </w:r>
      <w:r>
        <w:rPr>
          <w:rFonts w:ascii="Times New Roman" w:eastAsia="Times New Roman"/>
        </w:rPr>
        <w:t>90%</w:t>
      </w:r>
      <w:r>
        <w:rPr>
          <w:spacing w:val="-15"/>
        </w:rPr>
        <w:t>及</w:t>
      </w:r>
    </w:p>
    <w:p>
      <w:pPr>
        <w:spacing w:after="0" w:line="350" w:lineRule="auto"/>
        <w:jc w:val="both"/>
        <w:sectPr>
          <w:pgSz w:w="11910" w:h="16840"/>
          <w:pgMar w:top="1540" w:right="1140" w:bottom="1380" w:left="1400" w:header="0" w:footer="1200" w:gutter="0"/>
        </w:sectPr>
      </w:pPr>
    </w:p>
    <w:p>
      <w:pPr>
        <w:pStyle w:val="3"/>
        <w:spacing w:line="350" w:lineRule="auto"/>
        <w:ind w:right="209" w:firstLine="0"/>
      </w:pPr>
      <w:r>
        <w:t xml:space="preserve">以上；工作场所职业病危害因素检测率达到 </w:t>
      </w:r>
      <w:r>
        <w:rPr>
          <w:rFonts w:ascii="Times New Roman" w:eastAsia="Times New Roman"/>
        </w:rPr>
        <w:t>85%</w:t>
      </w:r>
      <w:r>
        <w:t xml:space="preserve">及以上，接触职业病危害的劳动者在岗期间职业健康检查率达到 </w:t>
      </w:r>
      <w:r>
        <w:rPr>
          <w:rFonts w:ascii="Times New Roman" w:eastAsia="Times New Roman"/>
        </w:rPr>
        <w:t>90%</w:t>
      </w:r>
      <w:r>
        <w:t xml:space="preserve">及以上； 职业病诊断机构报告率达到 </w:t>
      </w:r>
      <w:r>
        <w:rPr>
          <w:rFonts w:ascii="Times New Roman" w:eastAsia="Times New Roman"/>
        </w:rPr>
        <w:t>95%</w:t>
      </w:r>
      <w:r>
        <w:t>及以上。</w:t>
      </w:r>
    </w:p>
    <w:p>
      <w:pPr>
        <w:pStyle w:val="3"/>
        <w:spacing w:before="4" w:line="350" w:lineRule="auto"/>
        <w:ind w:right="270"/>
      </w:pPr>
      <w:r>
        <w:rPr>
          <w:spacing w:val="4"/>
        </w:rPr>
        <w:t>提倡重点行业劳动者对本岗位主要危害及防护知识知晓率</w:t>
      </w:r>
      <w:r>
        <w:rPr>
          <w:spacing w:val="-28"/>
        </w:rPr>
        <w:t xml:space="preserve">达到 </w:t>
      </w:r>
      <w:r>
        <w:rPr>
          <w:rFonts w:ascii="Times New Roman" w:hAnsi="Times New Roman" w:eastAsia="Times New Roman"/>
          <w:spacing w:val="2"/>
        </w:rPr>
        <w:t>90%</w:t>
      </w:r>
      <w:r>
        <w:rPr>
          <w:spacing w:val="3"/>
        </w:rPr>
        <w:t>及以上并持续保持；鼓励各用人单位做好员工健康管</w:t>
      </w:r>
      <w:r>
        <w:rPr>
          <w:spacing w:val="-8"/>
        </w:rPr>
        <w:t>理、评选</w:t>
      </w:r>
      <w:r>
        <w:rPr>
          <w:rFonts w:ascii="Times New Roman" w:hAnsi="Times New Roman" w:eastAsia="Times New Roman"/>
        </w:rPr>
        <w:t>“</w:t>
      </w:r>
      <w:r>
        <w:t>健康达人</w:t>
      </w:r>
      <w:r>
        <w:rPr>
          <w:rFonts w:ascii="Times New Roman" w:hAnsi="Times New Roman" w:eastAsia="Times New Roman"/>
          <w:spacing w:val="-15"/>
        </w:rPr>
        <w:t>”</w:t>
      </w:r>
      <w:r>
        <w:rPr>
          <w:spacing w:val="-13"/>
        </w:rPr>
        <w:t>，其中国家机关、学校、医疗卫生机构、国</w:t>
      </w:r>
      <w:r>
        <w:rPr>
          <w:spacing w:val="-15"/>
        </w:rPr>
        <w:t xml:space="preserve">有企业等用人单位应支持员工率先树立健康形象，并给予奖励； </w:t>
      </w:r>
      <w:r>
        <w:rPr>
          <w:spacing w:val="4"/>
        </w:rPr>
        <w:t>对从事长时间、高强度重复用力、快速移动等作业方式以及视</w:t>
      </w:r>
      <w:r>
        <w:rPr>
          <w:spacing w:val="-1"/>
        </w:rPr>
        <w:t xml:space="preserve">屏作业的人员，采取推广先进工艺技术、调整作息时间等措施， </w:t>
      </w:r>
      <w:r>
        <w:rPr>
          <w:spacing w:val="4"/>
        </w:rPr>
        <w:t>预防和控制过度疲劳和工作相关肌肉骨骼系统疾病的发生；采取综合措施降低或消除工作压力。</w:t>
      </w:r>
    </w:p>
    <w:p>
      <w:pPr>
        <w:pStyle w:val="2"/>
        <w:spacing w:before="11"/>
        <w:rPr>
          <w:rFonts w:hint="eastAsia" w:ascii="仿宋" w:hAnsi="仿宋" w:eastAsia="仿宋"/>
        </w:rPr>
      </w:pPr>
      <w:bookmarkStart w:id="55" w:name="——劳动者个人："/>
      <w:bookmarkEnd w:id="55"/>
      <w:r>
        <w:rPr>
          <w:rFonts w:ascii="Times New Roman" w:hAnsi="Times New Roman" w:eastAsia="Times New Roman"/>
        </w:rPr>
        <w:t>——</w:t>
      </w:r>
      <w:r>
        <w:rPr>
          <w:rFonts w:hint="eastAsia" w:ascii="仿宋" w:hAnsi="仿宋" w:eastAsia="仿宋"/>
        </w:rPr>
        <w:t>劳动者个人：</w:t>
      </w:r>
    </w:p>
    <w:p>
      <w:pPr>
        <w:pStyle w:val="10"/>
        <w:numPr>
          <w:ilvl w:val="2"/>
          <w:numId w:val="24"/>
        </w:numPr>
        <w:tabs>
          <w:tab w:val="left" w:pos="1052"/>
        </w:tabs>
        <w:spacing w:before="190" w:after="0" w:line="350" w:lineRule="auto"/>
        <w:ind w:left="171" w:right="314" w:firstLine="638"/>
        <w:jc w:val="left"/>
        <w:rPr>
          <w:sz w:val="32"/>
        </w:rPr>
      </w:pPr>
      <w:r>
        <w:rPr>
          <w:sz w:val="32"/>
        </w:rPr>
        <w:t>倡导健康工作方式。积极传播职业健康先进理念和文化。</w:t>
      </w:r>
      <w:r>
        <w:rPr>
          <w:spacing w:val="4"/>
          <w:sz w:val="32"/>
        </w:rPr>
        <w:t>国家机关、学校、医疗卫生机构、国有企业等单位的员工率先树立健康形象，争做</w:t>
      </w:r>
      <w:r>
        <w:rPr>
          <w:rFonts w:ascii="Times New Roman" w:hAnsi="Times New Roman" w:eastAsia="Times New Roman"/>
          <w:spacing w:val="4"/>
          <w:sz w:val="32"/>
        </w:rPr>
        <w:t>“</w:t>
      </w:r>
      <w:r>
        <w:rPr>
          <w:spacing w:val="4"/>
          <w:sz w:val="32"/>
        </w:rPr>
        <w:t>健康达人</w:t>
      </w:r>
      <w:r>
        <w:rPr>
          <w:rFonts w:ascii="Times New Roman" w:hAnsi="Times New Roman" w:eastAsia="Times New Roman"/>
          <w:spacing w:val="4"/>
          <w:sz w:val="32"/>
        </w:rPr>
        <w:t>”</w:t>
      </w:r>
      <w:r>
        <w:rPr>
          <w:spacing w:val="4"/>
          <w:sz w:val="32"/>
        </w:rPr>
        <w:t>。</w:t>
      </w:r>
    </w:p>
    <w:p>
      <w:pPr>
        <w:pStyle w:val="10"/>
        <w:numPr>
          <w:ilvl w:val="2"/>
          <w:numId w:val="24"/>
        </w:numPr>
        <w:tabs>
          <w:tab w:val="left" w:pos="1052"/>
        </w:tabs>
        <w:spacing w:before="4" w:after="0" w:line="350" w:lineRule="auto"/>
        <w:ind w:left="171" w:right="270" w:firstLine="638"/>
        <w:jc w:val="left"/>
        <w:rPr>
          <w:sz w:val="32"/>
        </w:rPr>
      </w:pPr>
      <w:r>
        <w:rPr>
          <w:spacing w:val="-11"/>
          <w:sz w:val="32"/>
        </w:rPr>
        <w:t>树立健康意识。积极参加职业健康培训，学习和掌握与职</w:t>
      </w:r>
      <w:r>
        <w:rPr>
          <w:spacing w:val="-12"/>
          <w:w w:val="95"/>
          <w:sz w:val="32"/>
        </w:rPr>
        <w:t xml:space="preserve">业健康相关的各项制度、标准，了解工作场所存在的危害因素， </w:t>
      </w:r>
      <w:r>
        <w:rPr>
          <w:spacing w:val="4"/>
          <w:sz w:val="32"/>
        </w:rPr>
        <w:t>掌握职业病危害防护知识、岗位操作规程、个人防护用品的正确佩戴和使用方法。</w:t>
      </w:r>
    </w:p>
    <w:p>
      <w:pPr>
        <w:pStyle w:val="10"/>
        <w:numPr>
          <w:ilvl w:val="2"/>
          <w:numId w:val="24"/>
        </w:numPr>
        <w:tabs>
          <w:tab w:val="left" w:pos="1052"/>
        </w:tabs>
        <w:spacing w:before="6" w:after="0" w:line="350" w:lineRule="auto"/>
        <w:ind w:left="171" w:right="270" w:firstLine="638"/>
        <w:jc w:val="left"/>
        <w:rPr>
          <w:sz w:val="32"/>
        </w:rPr>
      </w:pPr>
      <w:r>
        <w:rPr>
          <w:spacing w:val="-18"/>
          <w:w w:val="95"/>
          <w:sz w:val="32"/>
        </w:rPr>
        <w:t xml:space="preserve">强化法律意识，知法、懂法。遵守职业病防治法律、法规、 </w:t>
      </w:r>
      <w:r>
        <w:rPr>
          <w:spacing w:val="4"/>
          <w:sz w:val="32"/>
        </w:rPr>
        <w:t>规章。接触职业病危害的劳动者，定期参加职业健康检查；罹患职业病的劳动者，建议及时诊断、治疗，保护自己的合法权益。</w:t>
      </w:r>
    </w:p>
    <w:p>
      <w:pPr>
        <w:spacing w:after="0" w:line="350" w:lineRule="auto"/>
        <w:jc w:val="left"/>
        <w:rPr>
          <w:sz w:val="32"/>
        </w:rPr>
        <w:sectPr>
          <w:footerReference r:id="rId10" w:type="default"/>
          <w:pgSz w:w="11910" w:h="16840"/>
          <w:pgMar w:top="1540" w:right="1140" w:bottom="1380" w:left="1400" w:header="0" w:footer="1200" w:gutter="0"/>
          <w:pgNumType w:start="70"/>
        </w:sectPr>
      </w:pPr>
    </w:p>
    <w:p>
      <w:pPr>
        <w:pStyle w:val="10"/>
        <w:numPr>
          <w:ilvl w:val="2"/>
          <w:numId w:val="24"/>
        </w:numPr>
        <w:tabs>
          <w:tab w:val="left" w:pos="1052"/>
        </w:tabs>
        <w:spacing w:before="43" w:after="0" w:line="350" w:lineRule="auto"/>
        <w:ind w:left="171" w:right="314" w:firstLine="638"/>
        <w:jc w:val="left"/>
        <w:rPr>
          <w:sz w:val="32"/>
        </w:rPr>
      </w:pPr>
      <w:r>
        <w:rPr>
          <w:sz w:val="32"/>
        </w:rPr>
        <w:t>加强劳动过程防护。劳动者在生产环境中长期接触粉尘、</w:t>
      </w:r>
      <w:r>
        <w:rPr>
          <w:spacing w:val="4"/>
          <w:sz w:val="32"/>
        </w:rPr>
        <w:t>化学危害因素、放射性危害因素、物理危害因素、生物危害因素等可能引起相关职业病。建议接触职业病危害因素的劳动者注意各类危害的防护，严格按照操作规程进行作业，并自觉、正确地佩戴个人职业病防护用品。</w:t>
      </w:r>
    </w:p>
    <w:p>
      <w:pPr>
        <w:pStyle w:val="10"/>
        <w:numPr>
          <w:ilvl w:val="2"/>
          <w:numId w:val="24"/>
        </w:numPr>
        <w:tabs>
          <w:tab w:val="left" w:pos="1052"/>
        </w:tabs>
        <w:spacing w:before="7" w:after="0" w:line="350" w:lineRule="auto"/>
        <w:ind w:left="171" w:right="429" w:firstLine="638"/>
        <w:jc w:val="left"/>
        <w:rPr>
          <w:sz w:val="32"/>
        </w:rPr>
      </w:pPr>
      <w:r>
        <w:rPr>
          <w:spacing w:val="-11"/>
          <w:sz w:val="32"/>
        </w:rPr>
        <w:t>提升应急处置能力。学习掌握现场急救知识和急性危害的应急处置方法，能够做到正确的自救、互救。</w:t>
      </w:r>
    </w:p>
    <w:p>
      <w:pPr>
        <w:pStyle w:val="10"/>
        <w:numPr>
          <w:ilvl w:val="2"/>
          <w:numId w:val="24"/>
        </w:numPr>
        <w:tabs>
          <w:tab w:val="left" w:pos="1052"/>
        </w:tabs>
        <w:spacing w:before="3" w:after="0" w:line="350" w:lineRule="auto"/>
        <w:ind w:left="171" w:right="429" w:firstLine="638"/>
        <w:jc w:val="both"/>
        <w:rPr>
          <w:sz w:val="32"/>
        </w:rPr>
      </w:pPr>
      <w:r>
        <w:rPr>
          <w:spacing w:val="-11"/>
          <w:sz w:val="32"/>
        </w:rPr>
        <w:t>加强防暑降温措施。建议高温作业、高温天气作业等劳动</w:t>
      </w:r>
      <w:r>
        <w:rPr>
          <w:spacing w:val="4"/>
          <w:w w:val="95"/>
          <w:sz w:val="32"/>
        </w:rPr>
        <w:t xml:space="preserve">者注意预防中暑。可佩戴隔热面罩和穿着隔热、通风性能良好 的防热服，注意使用空调等防暑降温设施进行降温。建议适量 </w:t>
      </w:r>
      <w:r>
        <w:rPr>
          <w:sz w:val="32"/>
        </w:rPr>
        <w:t>补充水、含食盐和水溶性维生素等防暑降温饮料。</w:t>
      </w:r>
    </w:p>
    <w:p>
      <w:pPr>
        <w:pStyle w:val="10"/>
        <w:numPr>
          <w:ilvl w:val="2"/>
          <w:numId w:val="24"/>
        </w:numPr>
        <w:tabs>
          <w:tab w:val="left" w:pos="1060"/>
        </w:tabs>
        <w:spacing w:before="5" w:after="0" w:line="350" w:lineRule="auto"/>
        <w:ind w:left="171" w:right="270" w:firstLine="638"/>
        <w:jc w:val="left"/>
        <w:rPr>
          <w:sz w:val="32"/>
        </w:rPr>
      </w:pPr>
      <w:r>
        <w:rPr>
          <w:spacing w:val="6"/>
          <w:sz w:val="32"/>
        </w:rPr>
        <w:t>长时间伏案低头工作或长期前倾坐姿职业人群的健康保</w:t>
      </w:r>
      <w:r>
        <w:rPr>
          <w:spacing w:val="4"/>
          <w:sz w:val="32"/>
        </w:rPr>
        <w:t>护。应注意通过伸展活动等方式缓解肌肉紧张，避免颈椎病、</w:t>
      </w:r>
      <w:r>
        <w:rPr>
          <w:spacing w:val="-1"/>
          <w:w w:val="95"/>
          <w:sz w:val="32"/>
        </w:rPr>
        <w:t xml:space="preserve">肩周炎和腰背痛的发生。在伏案工作时，需注意保持正确坐姿， </w:t>
      </w:r>
      <w:r>
        <w:rPr>
          <w:spacing w:val="-6"/>
          <w:w w:val="95"/>
          <w:sz w:val="32"/>
        </w:rPr>
        <w:t xml:space="preserve">上身挺直；调整椅子的高低，使双脚刚好合适地平踩在地面上。 </w:t>
      </w:r>
      <w:r>
        <w:rPr>
          <w:spacing w:val="-9"/>
          <w:w w:val="95"/>
          <w:sz w:val="32"/>
        </w:rPr>
        <w:t xml:space="preserve">长时间使用电脑的，工作时电脑的仰角应与使用者的视线相对， </w:t>
      </w:r>
      <w:r>
        <w:rPr>
          <w:spacing w:val="-15"/>
          <w:sz w:val="32"/>
        </w:rPr>
        <w:t xml:space="preserve">不宜过分低头或抬头，建议每隔 </w:t>
      </w:r>
      <w:r>
        <w:rPr>
          <w:rFonts w:ascii="Times New Roman" w:eastAsia="Times New Roman"/>
          <w:sz w:val="32"/>
        </w:rPr>
        <w:t>1</w:t>
      </w:r>
      <w:r>
        <w:rPr>
          <w:sz w:val="32"/>
        </w:rPr>
        <w:t>～</w:t>
      </w:r>
      <w:r>
        <w:rPr>
          <w:rFonts w:ascii="Times New Roman" w:eastAsia="Times New Roman"/>
          <w:sz w:val="32"/>
        </w:rPr>
        <w:t>2</w:t>
      </w:r>
      <w:r>
        <w:rPr>
          <w:rFonts w:ascii="Times New Roman" w:eastAsia="Times New Roman"/>
          <w:spacing w:val="-3"/>
          <w:sz w:val="32"/>
        </w:rPr>
        <w:t xml:space="preserve"> </w:t>
      </w:r>
      <w:r>
        <w:rPr>
          <w:spacing w:val="-2"/>
          <w:sz w:val="32"/>
        </w:rPr>
        <w:t>小时休息一段时间，向远处眺望，活动腰部和颈部，做眼保健操和工间操。</w:t>
      </w:r>
    </w:p>
    <w:p>
      <w:pPr>
        <w:pStyle w:val="10"/>
        <w:numPr>
          <w:ilvl w:val="2"/>
          <w:numId w:val="24"/>
        </w:numPr>
        <w:tabs>
          <w:tab w:val="left" w:pos="1052"/>
        </w:tabs>
        <w:spacing w:before="10" w:after="0" w:line="350" w:lineRule="auto"/>
        <w:ind w:left="171" w:right="427" w:firstLine="638"/>
        <w:jc w:val="both"/>
        <w:rPr>
          <w:sz w:val="32"/>
        </w:rPr>
      </w:pPr>
      <w:r>
        <w:rPr>
          <w:spacing w:val="-11"/>
          <w:w w:val="95"/>
          <w:sz w:val="32"/>
        </w:rPr>
        <w:t xml:space="preserve">教师、交通警察、医生、护士等以站姿作业为主的职业人 </w:t>
      </w:r>
      <w:r>
        <w:rPr>
          <w:spacing w:val="4"/>
          <w:w w:val="95"/>
          <w:sz w:val="32"/>
        </w:rPr>
        <w:t xml:space="preserve">群的健康保护。站立时，建议两腿重心交替使用，防止静脉曲 张，建议通过适当走动等方式保持腰部、膝盖放松，促进血液 循环；长时间用嗓的，注意补充水分，常备润喉片，预防咽喉 </w:t>
      </w:r>
      <w:r>
        <w:rPr>
          <w:sz w:val="32"/>
        </w:rPr>
        <w:t>炎。</w:t>
      </w:r>
    </w:p>
    <w:p>
      <w:pPr>
        <w:spacing w:after="0" w:line="350" w:lineRule="auto"/>
        <w:jc w:val="both"/>
        <w:rPr>
          <w:sz w:val="32"/>
        </w:rPr>
        <w:sectPr>
          <w:pgSz w:w="11910" w:h="16840"/>
          <w:pgMar w:top="1540" w:right="1140" w:bottom="1380" w:left="1400" w:header="0" w:footer="1200" w:gutter="0"/>
        </w:sectPr>
      </w:pPr>
    </w:p>
    <w:p>
      <w:pPr>
        <w:pStyle w:val="10"/>
        <w:numPr>
          <w:ilvl w:val="2"/>
          <w:numId w:val="24"/>
        </w:numPr>
        <w:tabs>
          <w:tab w:val="left" w:pos="1052"/>
        </w:tabs>
        <w:spacing w:before="43" w:after="0" w:line="350" w:lineRule="auto"/>
        <w:ind w:left="171" w:right="429" w:firstLine="638"/>
        <w:jc w:val="both"/>
        <w:rPr>
          <w:sz w:val="32"/>
        </w:rPr>
      </w:pPr>
      <w:r>
        <w:rPr>
          <w:spacing w:val="-5"/>
          <w:sz w:val="32"/>
        </w:rPr>
        <w:t>驾驶员等长时间固定体位作业职业人群的健康保护。建议</w:t>
      </w:r>
      <w:r>
        <w:rPr>
          <w:spacing w:val="4"/>
          <w:w w:val="95"/>
          <w:sz w:val="32"/>
        </w:rPr>
        <w:t xml:space="preserve">合理安排作业时间，做到规律饮食，定时定量；保持正确的作 业姿势，将座位调整至适当的位置，确保腰椎受力适度，并注 意减少震动，避免颈椎病、肩周炎、骨质增生、坐骨神经痛等 疾病的发生；作业期间注意间歇性休息，减少憋尿，严禁疲劳 </w:t>
      </w:r>
      <w:r>
        <w:rPr>
          <w:sz w:val="32"/>
        </w:rPr>
        <w:t>作业。</w:t>
      </w:r>
    </w:p>
    <w:p>
      <w:pPr>
        <w:pStyle w:val="2"/>
        <w:spacing w:before="8"/>
        <w:rPr>
          <w:rFonts w:hint="eastAsia" w:ascii="仿宋" w:hAnsi="仿宋" w:eastAsia="仿宋"/>
        </w:rPr>
      </w:pPr>
      <w:bookmarkStart w:id="56" w:name="——用人单位："/>
      <w:bookmarkEnd w:id="56"/>
      <w:r>
        <w:rPr>
          <w:rFonts w:ascii="Times New Roman" w:hAnsi="Times New Roman" w:eastAsia="Times New Roman"/>
        </w:rPr>
        <w:t>——</w:t>
      </w:r>
      <w:r>
        <w:rPr>
          <w:rFonts w:hint="eastAsia" w:ascii="仿宋" w:hAnsi="仿宋" w:eastAsia="仿宋"/>
        </w:rPr>
        <w:t>用人单位：</w:t>
      </w:r>
    </w:p>
    <w:p>
      <w:pPr>
        <w:pStyle w:val="10"/>
        <w:numPr>
          <w:ilvl w:val="0"/>
          <w:numId w:val="25"/>
        </w:numPr>
        <w:tabs>
          <w:tab w:val="left" w:pos="1052"/>
        </w:tabs>
        <w:spacing w:before="190" w:after="0" w:line="350" w:lineRule="auto"/>
        <w:ind w:left="171" w:right="429" w:firstLine="638"/>
        <w:jc w:val="both"/>
        <w:rPr>
          <w:sz w:val="32"/>
        </w:rPr>
      </w:pPr>
      <w:r>
        <w:rPr>
          <w:spacing w:val="-7"/>
          <w:sz w:val="32"/>
        </w:rPr>
        <w:t>鼓励用人单位为劳动者提供整洁卫生、绿色环保、舒适优</w:t>
      </w:r>
      <w:r>
        <w:rPr>
          <w:spacing w:val="4"/>
          <w:w w:val="95"/>
          <w:sz w:val="32"/>
        </w:rPr>
        <w:t xml:space="preserve">美和人性化的工作环境，采取综合预防措施，尽可能减少各类 危害因素对劳动者健康的影响，切实保护劳动者的健康权益。 </w:t>
      </w:r>
      <w:r>
        <w:rPr>
          <w:sz w:val="32"/>
        </w:rPr>
        <w:t>倡导用人单位评选</w:t>
      </w:r>
      <w:r>
        <w:rPr>
          <w:rFonts w:ascii="Times New Roman" w:hAnsi="Times New Roman" w:eastAsia="Times New Roman"/>
          <w:sz w:val="32"/>
        </w:rPr>
        <w:t>“</w:t>
      </w:r>
      <w:r>
        <w:rPr>
          <w:sz w:val="32"/>
        </w:rPr>
        <w:t>健康达人</w:t>
      </w:r>
      <w:r>
        <w:rPr>
          <w:rFonts w:ascii="Times New Roman" w:hAnsi="Times New Roman" w:eastAsia="Times New Roman"/>
          <w:sz w:val="32"/>
        </w:rPr>
        <w:t>”</w:t>
      </w:r>
      <w:r>
        <w:rPr>
          <w:sz w:val="32"/>
        </w:rPr>
        <w:t>，并给予奖励。</w:t>
      </w:r>
    </w:p>
    <w:p>
      <w:pPr>
        <w:pStyle w:val="10"/>
        <w:numPr>
          <w:ilvl w:val="0"/>
          <w:numId w:val="25"/>
        </w:numPr>
        <w:tabs>
          <w:tab w:val="left" w:pos="1052"/>
        </w:tabs>
        <w:spacing w:before="6" w:after="0" w:line="350" w:lineRule="auto"/>
        <w:ind w:left="171" w:right="270" w:firstLine="638"/>
        <w:jc w:val="left"/>
        <w:rPr>
          <w:sz w:val="32"/>
        </w:rPr>
      </w:pPr>
      <w:r>
        <w:rPr>
          <w:spacing w:val="-7"/>
          <w:sz w:val="32"/>
        </w:rPr>
        <w:t>鼓励用人单位在适宜场所设置健康小贴士，为单位职工提</w:t>
      </w:r>
      <w:r>
        <w:rPr>
          <w:spacing w:val="4"/>
          <w:sz w:val="32"/>
        </w:rPr>
        <w:t>供免费测量血压、体重、腰围等健康指标的场所和设施，一般</w:t>
      </w:r>
      <w:r>
        <w:rPr>
          <w:spacing w:val="-10"/>
          <w:sz w:val="32"/>
        </w:rPr>
        <w:t xml:space="preserve">情况下，开会时间超过 </w:t>
      </w:r>
      <w:r>
        <w:rPr>
          <w:rFonts w:ascii="Times New Roman" w:eastAsia="Times New Roman"/>
          <w:sz w:val="32"/>
        </w:rPr>
        <w:t>2</w:t>
      </w:r>
      <w:r>
        <w:rPr>
          <w:rFonts w:ascii="Times New Roman" w:eastAsia="Times New Roman"/>
          <w:spacing w:val="-2"/>
          <w:sz w:val="32"/>
        </w:rPr>
        <w:t xml:space="preserve"> </w:t>
      </w:r>
      <w:r>
        <w:rPr>
          <w:spacing w:val="-12"/>
          <w:sz w:val="32"/>
        </w:rPr>
        <w:t xml:space="preserve">小时安排休息 </w:t>
      </w:r>
      <w:r>
        <w:rPr>
          <w:rFonts w:ascii="Times New Roman" w:eastAsia="Times New Roman"/>
          <w:sz w:val="32"/>
        </w:rPr>
        <w:t>10</w:t>
      </w:r>
      <w:r>
        <w:rPr>
          <w:sz w:val="32"/>
        </w:rPr>
        <w:t>～</w:t>
      </w:r>
      <w:r>
        <w:rPr>
          <w:rFonts w:ascii="Times New Roman" w:eastAsia="Times New Roman"/>
          <w:sz w:val="32"/>
        </w:rPr>
        <w:t>15</w:t>
      </w:r>
      <w:r>
        <w:rPr>
          <w:rFonts w:ascii="Times New Roman" w:eastAsia="Times New Roman"/>
          <w:spacing w:val="-3"/>
          <w:sz w:val="32"/>
        </w:rPr>
        <w:t xml:space="preserve"> </w:t>
      </w:r>
      <w:r>
        <w:rPr>
          <w:spacing w:val="-4"/>
          <w:sz w:val="32"/>
        </w:rPr>
        <w:t>分钟。鼓励建立</w:t>
      </w:r>
      <w:r>
        <w:rPr>
          <w:spacing w:val="4"/>
          <w:sz w:val="32"/>
        </w:rPr>
        <w:t>保护劳动者健康的相关制度，如：工间操制度、健身制度、无</w:t>
      </w:r>
      <w:r>
        <w:rPr>
          <w:spacing w:val="-2"/>
          <w:sz w:val="32"/>
        </w:rPr>
        <w:t xml:space="preserve">烟单位制度等。根据用人单位的职工人数和职业健康风险程度， </w:t>
      </w:r>
      <w:r>
        <w:rPr>
          <w:spacing w:val="4"/>
          <w:sz w:val="32"/>
        </w:rPr>
        <w:t>依据有关标准设置医务室、紧急救援站、有毒气体防护站，配备急救箱等装备。</w:t>
      </w:r>
    </w:p>
    <w:p>
      <w:pPr>
        <w:pStyle w:val="10"/>
        <w:numPr>
          <w:ilvl w:val="0"/>
          <w:numId w:val="25"/>
        </w:numPr>
        <w:tabs>
          <w:tab w:val="left" w:pos="1052"/>
        </w:tabs>
        <w:spacing w:before="9" w:after="0" w:line="350" w:lineRule="auto"/>
        <w:ind w:left="171" w:right="233" w:firstLine="638"/>
        <w:jc w:val="both"/>
        <w:rPr>
          <w:sz w:val="32"/>
        </w:rPr>
      </w:pPr>
      <w:r>
        <w:rPr>
          <w:spacing w:val="-11"/>
          <w:sz w:val="32"/>
        </w:rPr>
        <w:t>新建、扩建、改建建设项目和技术改造、技术引进项目可</w:t>
      </w:r>
      <w:r>
        <w:rPr>
          <w:spacing w:val="4"/>
          <w:sz w:val="32"/>
        </w:rPr>
        <w:t>能产生职业病危害的，建设单位应当依法依规履行建设项目职</w:t>
      </w:r>
      <w:r>
        <w:rPr>
          <w:spacing w:val="5"/>
          <w:sz w:val="32"/>
        </w:rPr>
        <w:t>业病防护设施</w:t>
      </w:r>
      <w:r>
        <w:rPr>
          <w:rFonts w:ascii="Times New Roman" w:hAnsi="Times New Roman" w:eastAsia="Times New Roman"/>
          <w:spacing w:val="7"/>
          <w:sz w:val="32"/>
        </w:rPr>
        <w:t>“</w:t>
      </w:r>
      <w:r>
        <w:rPr>
          <w:spacing w:val="6"/>
          <w:sz w:val="32"/>
        </w:rPr>
        <w:t>三同时</w:t>
      </w:r>
      <w:r>
        <w:rPr>
          <w:rFonts w:ascii="Times New Roman" w:hAnsi="Times New Roman" w:eastAsia="Times New Roman"/>
          <w:spacing w:val="7"/>
          <w:sz w:val="32"/>
        </w:rPr>
        <w:t>”</w:t>
      </w:r>
      <w:r>
        <w:rPr>
          <w:spacing w:val="7"/>
          <w:sz w:val="32"/>
        </w:rPr>
        <w:t>（</w:t>
      </w:r>
      <w:r>
        <w:rPr>
          <w:spacing w:val="4"/>
          <w:sz w:val="32"/>
        </w:rPr>
        <w:t>即建设项目的职业病防护设施与主体工程同时设计、同时施工、同时投入生产和使用</w:t>
      </w:r>
      <w:r>
        <w:rPr>
          <w:spacing w:val="5"/>
          <w:sz w:val="32"/>
        </w:rPr>
        <w:t>）</w:t>
      </w:r>
      <w:r>
        <w:rPr>
          <w:spacing w:val="4"/>
          <w:sz w:val="32"/>
        </w:rPr>
        <w:t>制度。鼓励用人单位优先采用有利于防治职业病和保护员工健康的新技术、</w:t>
      </w:r>
    </w:p>
    <w:p>
      <w:pPr>
        <w:spacing w:after="0" w:line="350" w:lineRule="auto"/>
        <w:jc w:val="both"/>
        <w:rPr>
          <w:sz w:val="32"/>
        </w:rPr>
        <w:sectPr>
          <w:pgSz w:w="11910" w:h="16840"/>
          <w:pgMar w:top="1540" w:right="1140" w:bottom="1380" w:left="1400" w:header="0" w:footer="1200" w:gutter="0"/>
        </w:sectPr>
      </w:pPr>
    </w:p>
    <w:p>
      <w:pPr>
        <w:pStyle w:val="3"/>
        <w:spacing w:line="350" w:lineRule="auto"/>
        <w:ind w:right="270" w:firstLine="0"/>
      </w:pPr>
      <w:r>
        <w:t>新工艺、新设备、新材料，不得生产、经营、进口和使用国家明令禁止使用的可能产生职业病危害的设备或材料。对长时间、</w:t>
      </w:r>
      <w:r>
        <w:rPr>
          <w:w w:val="95"/>
        </w:rPr>
        <w:t xml:space="preserve">高强度、重复用力、快速移动等作业方式，采取先进工艺技术、 </w:t>
      </w:r>
      <w:r>
        <w:t>调整作息时间等措施，预防和控制过度疲劳和相关疾病发生。采取综合措施降低或消除工作压力，预防和控制其可能产生的不良健康影响。</w:t>
      </w:r>
    </w:p>
    <w:p>
      <w:pPr>
        <w:pStyle w:val="10"/>
        <w:numPr>
          <w:ilvl w:val="0"/>
          <w:numId w:val="25"/>
        </w:numPr>
        <w:tabs>
          <w:tab w:val="left" w:pos="1052"/>
        </w:tabs>
        <w:spacing w:before="8" w:after="0" w:line="350" w:lineRule="auto"/>
        <w:ind w:left="171" w:right="314" w:firstLine="638"/>
        <w:jc w:val="left"/>
        <w:rPr>
          <w:sz w:val="32"/>
        </w:rPr>
      </w:pPr>
      <w:r>
        <w:rPr>
          <w:sz w:val="32"/>
        </w:rPr>
        <w:t>产生职业病危害的用人单位应加强职业病危害项目申报、</w:t>
      </w:r>
      <w:r>
        <w:rPr>
          <w:spacing w:val="4"/>
          <w:sz w:val="32"/>
        </w:rPr>
        <w:t>日常监测、定期检测与评价，在醒目位置设置公告栏，公布工作场所职业病危害因素检测结果和职业病危害事故应急救援措施等内容，对产生严重职业病危害的作业岗位，应当在其醒目位置，设置警示标识和中文警示说明。</w:t>
      </w:r>
    </w:p>
    <w:p>
      <w:pPr>
        <w:pStyle w:val="10"/>
        <w:numPr>
          <w:ilvl w:val="0"/>
          <w:numId w:val="25"/>
        </w:numPr>
        <w:tabs>
          <w:tab w:val="left" w:pos="1060"/>
        </w:tabs>
        <w:spacing w:before="7" w:after="0" w:line="350" w:lineRule="auto"/>
        <w:ind w:left="171" w:right="270" w:firstLine="638"/>
        <w:jc w:val="left"/>
        <w:rPr>
          <w:sz w:val="32"/>
        </w:rPr>
      </w:pPr>
      <w:r>
        <w:rPr>
          <w:spacing w:val="6"/>
          <w:sz w:val="32"/>
        </w:rPr>
        <w:t>产生职业病危害的用人单位应建立职业病防治管理责任</w:t>
      </w:r>
      <w:r>
        <w:rPr>
          <w:spacing w:val="-5"/>
          <w:sz w:val="32"/>
        </w:rPr>
        <w:t>制，健全岗位责任体系，做到责任到位、投入到位、监管到位、</w:t>
      </w:r>
      <w:r>
        <w:rPr>
          <w:spacing w:val="-7"/>
          <w:w w:val="95"/>
          <w:sz w:val="32"/>
        </w:rPr>
        <w:t xml:space="preserve">防护到位、应急救援到位。用人单位应当根据存在的危害因素， </w:t>
      </w:r>
      <w:r>
        <w:rPr>
          <w:spacing w:val="4"/>
          <w:sz w:val="32"/>
        </w:rPr>
        <w:t>设置或者指定职业卫生管理机构，配备专兼职的职业卫生管理人员，开展职业病防治、职业健康指导和管理工作。</w:t>
      </w:r>
    </w:p>
    <w:p>
      <w:pPr>
        <w:pStyle w:val="10"/>
        <w:numPr>
          <w:ilvl w:val="0"/>
          <w:numId w:val="25"/>
        </w:numPr>
        <w:tabs>
          <w:tab w:val="left" w:pos="1052"/>
        </w:tabs>
        <w:spacing w:before="7" w:after="0" w:line="350" w:lineRule="auto"/>
        <w:ind w:left="171" w:right="429" w:firstLine="638"/>
        <w:jc w:val="both"/>
        <w:rPr>
          <w:sz w:val="32"/>
        </w:rPr>
      </w:pPr>
      <w:r>
        <w:rPr>
          <w:spacing w:val="-7"/>
          <w:sz w:val="32"/>
        </w:rPr>
        <w:t>用人单位应建立完善的职业健康监护制度，依法组织劳动</w:t>
      </w:r>
      <w:r>
        <w:rPr>
          <w:spacing w:val="4"/>
          <w:w w:val="95"/>
          <w:sz w:val="32"/>
        </w:rPr>
        <w:t xml:space="preserve">者进行职业健康检查，配合开展职业病诊断与鉴定等工作。对 </w:t>
      </w:r>
      <w:r>
        <w:rPr>
          <w:sz w:val="32"/>
        </w:rPr>
        <w:t>女职工定期进行妇科疾病及乳腺疾病的查治。</w:t>
      </w:r>
    </w:p>
    <w:p>
      <w:pPr>
        <w:pStyle w:val="10"/>
        <w:numPr>
          <w:ilvl w:val="0"/>
          <w:numId w:val="25"/>
        </w:numPr>
        <w:tabs>
          <w:tab w:val="left" w:pos="1052"/>
        </w:tabs>
        <w:spacing w:before="4" w:after="0" w:line="350" w:lineRule="auto"/>
        <w:ind w:left="171" w:right="429" w:firstLine="638"/>
        <w:jc w:val="both"/>
        <w:rPr>
          <w:sz w:val="32"/>
        </w:rPr>
      </w:pPr>
      <w:r>
        <w:rPr>
          <w:spacing w:val="-9"/>
          <w:sz w:val="32"/>
        </w:rPr>
        <w:t>用人单位应规范劳动用工管理，依法与劳动者签订劳动合</w:t>
      </w:r>
      <w:r>
        <w:rPr>
          <w:spacing w:val="4"/>
          <w:w w:val="95"/>
          <w:sz w:val="32"/>
        </w:rPr>
        <w:t>同，合同中应明确劳动保护、劳动条件和职业病危害防护、女 职工劳动保护及女职工禁忌劳动岗位等内容。用人单位应当保 证劳动者休息时间，依法安排劳动者休假，落实女职工产假、</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jc w:val="both"/>
      </w:pPr>
      <w:r>
        <w:rPr>
          <w:spacing w:val="4"/>
          <w:w w:val="95"/>
        </w:rPr>
        <w:t xml:space="preserve">产前检查及哺乳时间，杜绝违法加班；要依法按时足额缴纳工 伤保险费。鼓励用人单位组建健康指导人员队伍，开展职工健 </w:t>
      </w:r>
      <w:r>
        <w:t>康指导和管理工作。</w:t>
      </w:r>
    </w:p>
    <w:p>
      <w:pPr>
        <w:pStyle w:val="2"/>
        <w:spacing w:before="4"/>
        <w:rPr>
          <w:rFonts w:hint="eastAsia" w:ascii="仿宋" w:hAnsi="仿宋" w:eastAsia="仿宋"/>
        </w:rPr>
      </w:pPr>
      <w:bookmarkStart w:id="57" w:name="——政府："/>
      <w:bookmarkEnd w:id="57"/>
      <w:r>
        <w:rPr>
          <w:rFonts w:ascii="Times New Roman" w:hAnsi="Times New Roman" w:eastAsia="Times New Roman"/>
        </w:rPr>
        <w:t>——</w:t>
      </w:r>
      <w:r>
        <w:rPr>
          <w:rFonts w:hint="eastAsia" w:ascii="仿宋" w:hAnsi="仿宋" w:eastAsia="仿宋"/>
        </w:rPr>
        <w:t>政府：</w:t>
      </w:r>
    </w:p>
    <w:p>
      <w:pPr>
        <w:pStyle w:val="10"/>
        <w:numPr>
          <w:ilvl w:val="0"/>
          <w:numId w:val="26"/>
        </w:numPr>
        <w:tabs>
          <w:tab w:val="left" w:pos="1052"/>
        </w:tabs>
        <w:spacing w:before="190" w:after="0" w:line="350" w:lineRule="auto"/>
        <w:ind w:left="171" w:right="270" w:firstLine="638"/>
        <w:jc w:val="left"/>
        <w:rPr>
          <w:rFonts w:hint="eastAsia" w:ascii="楷体" w:eastAsia="楷体"/>
          <w:sz w:val="32"/>
        </w:rPr>
      </w:pPr>
      <w:r>
        <w:rPr>
          <w:sz w:val="32"/>
        </w:rPr>
        <w:t xml:space="preserve">研究修订《中华人民共和国职业病防治法》等法律法规， </w:t>
      </w:r>
      <w:r>
        <w:rPr>
          <w:spacing w:val="4"/>
          <w:sz w:val="32"/>
        </w:rPr>
        <w:t>制修订职业病防治部门规章。梳理、分析、评估现有职业健康</w:t>
      </w:r>
      <w:r>
        <w:rPr>
          <w:spacing w:val="3"/>
          <w:sz w:val="32"/>
        </w:rPr>
        <w:t>标准，以防尘、防毒、防噪声、防辐射为重点，以强制性标准</w:t>
      </w:r>
      <w:r>
        <w:rPr>
          <w:spacing w:val="4"/>
          <w:sz w:val="32"/>
        </w:rPr>
        <w:t>为核心，研究制定、修订出台更严格、有效的国家职业健康标准和措施，完善职业病防治法规标准体系。加强对新型职业危害的研究识别、评价与控制，组织开展相关调查，研究制定规</w:t>
      </w:r>
      <w:r>
        <w:rPr>
          <w:spacing w:val="-3"/>
          <w:sz w:val="32"/>
        </w:rPr>
        <w:t>范标准，提出防范措施，适时纳入法定管理，以应对产业转型、</w:t>
      </w:r>
      <w:r>
        <w:rPr>
          <w:spacing w:val="5"/>
          <w:sz w:val="32"/>
        </w:rPr>
        <w:t>技术进步可能产生的职业健康新问题。</w:t>
      </w:r>
      <w:r>
        <w:rPr>
          <w:rFonts w:hint="eastAsia" w:ascii="楷体" w:eastAsia="楷体"/>
          <w:spacing w:val="5"/>
          <w:sz w:val="32"/>
        </w:rPr>
        <w:t>（</w:t>
      </w:r>
      <w:r>
        <w:rPr>
          <w:rFonts w:hint="eastAsia" w:ascii="楷体" w:eastAsia="楷体"/>
          <w:spacing w:val="4"/>
          <w:sz w:val="32"/>
        </w:rPr>
        <w:t>卫生健康委牵头，科技部、司法部、市场监管总局按职责分工负责）</w:t>
      </w:r>
    </w:p>
    <w:p>
      <w:pPr>
        <w:pStyle w:val="10"/>
        <w:numPr>
          <w:ilvl w:val="0"/>
          <w:numId w:val="26"/>
        </w:numPr>
        <w:tabs>
          <w:tab w:val="left" w:pos="1052"/>
        </w:tabs>
        <w:spacing w:before="12" w:after="0" w:line="350" w:lineRule="auto"/>
        <w:ind w:left="171" w:right="429" w:firstLine="638"/>
        <w:jc w:val="both"/>
        <w:rPr>
          <w:rFonts w:hint="eastAsia" w:ascii="楷体" w:eastAsia="楷体"/>
          <w:sz w:val="32"/>
        </w:rPr>
      </w:pPr>
      <w:r>
        <w:rPr>
          <w:spacing w:val="-10"/>
          <w:sz w:val="32"/>
        </w:rPr>
        <w:t>研发、推广有利于保护劳动者健康的新技术、新工艺、新</w:t>
      </w:r>
      <w:r>
        <w:rPr>
          <w:spacing w:val="4"/>
          <w:w w:val="95"/>
          <w:sz w:val="32"/>
        </w:rPr>
        <w:t xml:space="preserve">设备和新材料。以职业性尘肺病、噪声聋、化学中毒为重点， 在矿山、建材、金属冶炼、化工等行业领域开展专项治理。严 格源头控制，引导职业病危害严重的用人单位进行技术改造和 </w:t>
      </w:r>
      <w:r>
        <w:rPr>
          <w:spacing w:val="5"/>
          <w:w w:val="95"/>
          <w:sz w:val="32"/>
        </w:rPr>
        <w:t>转型升级。推动各行业协会制订并实施职业健康守则。</w:t>
      </w:r>
      <w:r>
        <w:rPr>
          <w:rFonts w:hint="eastAsia" w:ascii="楷体" w:eastAsia="楷体"/>
          <w:spacing w:val="5"/>
          <w:w w:val="95"/>
          <w:sz w:val="32"/>
        </w:rPr>
        <w:t>（</w:t>
      </w:r>
      <w:r>
        <w:rPr>
          <w:rFonts w:hint="eastAsia" w:ascii="楷体" w:eastAsia="楷体"/>
          <w:spacing w:val="-4"/>
          <w:w w:val="95"/>
          <w:sz w:val="32"/>
        </w:rPr>
        <w:t xml:space="preserve">卫生 </w:t>
      </w:r>
      <w:r>
        <w:rPr>
          <w:rFonts w:hint="eastAsia" w:ascii="楷体" w:eastAsia="楷体"/>
          <w:spacing w:val="4"/>
          <w:w w:val="95"/>
          <w:sz w:val="32"/>
        </w:rPr>
        <w:t xml:space="preserve">健康委牵头，发展改革委、科技部、工业和信息化部、国务院 </w:t>
      </w:r>
      <w:r>
        <w:rPr>
          <w:rFonts w:hint="eastAsia" w:ascii="楷体" w:eastAsia="楷体"/>
          <w:sz w:val="32"/>
        </w:rPr>
        <w:t>国资委按职责分工负责）</w:t>
      </w:r>
    </w:p>
    <w:p>
      <w:pPr>
        <w:pStyle w:val="10"/>
        <w:numPr>
          <w:ilvl w:val="0"/>
          <w:numId w:val="26"/>
        </w:numPr>
        <w:tabs>
          <w:tab w:val="left" w:pos="1052"/>
        </w:tabs>
        <w:spacing w:before="10" w:after="0" w:line="350" w:lineRule="auto"/>
        <w:ind w:left="171" w:right="270" w:firstLine="638"/>
        <w:jc w:val="left"/>
        <w:rPr>
          <w:sz w:val="32"/>
        </w:rPr>
      </w:pPr>
      <w:r>
        <w:rPr>
          <w:spacing w:val="-8"/>
          <w:sz w:val="32"/>
        </w:rPr>
        <w:t>完善职业病防治技术支撑体系，按照区域覆盖、合理配置的原则，加强职业病防治机构建设，做到布局合理、功能健全。</w:t>
      </w:r>
      <w:r>
        <w:rPr>
          <w:spacing w:val="-7"/>
          <w:sz w:val="32"/>
        </w:rPr>
        <w:t xml:space="preserve">设区的市至少有 </w:t>
      </w:r>
      <w:r>
        <w:rPr>
          <w:rFonts w:ascii="Times New Roman" w:eastAsia="Times New Roman"/>
          <w:sz w:val="32"/>
        </w:rPr>
        <w:t>1</w:t>
      </w:r>
      <w:r>
        <w:rPr>
          <w:rFonts w:ascii="Times New Roman" w:eastAsia="Times New Roman"/>
          <w:spacing w:val="-2"/>
          <w:sz w:val="32"/>
        </w:rPr>
        <w:t xml:space="preserve"> </w:t>
      </w:r>
      <w:r>
        <w:rPr>
          <w:spacing w:val="4"/>
          <w:sz w:val="32"/>
        </w:rPr>
        <w:t>家医疗卫生机构承担本辖区内职业病诊断工</w:t>
      </w:r>
    </w:p>
    <w:p>
      <w:pPr>
        <w:spacing w:after="0" w:line="350" w:lineRule="auto"/>
        <w:jc w:val="left"/>
        <w:rPr>
          <w:sz w:val="32"/>
        </w:rPr>
        <w:sectPr>
          <w:pgSz w:w="11910" w:h="16840"/>
          <w:pgMar w:top="1540" w:right="1140" w:bottom="1380" w:left="1400" w:header="0" w:footer="1200" w:gutter="0"/>
        </w:sectPr>
      </w:pPr>
    </w:p>
    <w:p>
      <w:pPr>
        <w:pStyle w:val="3"/>
        <w:spacing w:line="350" w:lineRule="auto"/>
        <w:ind w:right="270" w:firstLine="0"/>
        <w:rPr>
          <w:rFonts w:hint="eastAsia" w:ascii="楷体" w:eastAsia="楷体"/>
        </w:rPr>
      </w:pPr>
      <w:r>
        <w:rPr>
          <w:spacing w:val="-2"/>
        </w:rPr>
        <w:t xml:space="preserve">作，县级行政区域原则上至少有 </w:t>
      </w:r>
      <w:r>
        <w:rPr>
          <w:rFonts w:ascii="Times New Roman" w:eastAsia="Times New Roman"/>
        </w:rPr>
        <w:t>1</w:t>
      </w:r>
      <w:r>
        <w:rPr>
          <w:rFonts w:ascii="Times New Roman" w:eastAsia="Times New Roman"/>
          <w:spacing w:val="-2"/>
        </w:rPr>
        <w:t xml:space="preserve"> </w:t>
      </w:r>
      <w:r>
        <w:rPr>
          <w:spacing w:val="4"/>
        </w:rPr>
        <w:t>家医疗卫生机构承担本辖区职业健康检查工作。充分发挥各类职业病防治机构在职业健康检查、职业病诊断和治疗康复、职业病危害监测评价、职业健康风险评估等方面的作用，健全分工协作、上下联动的工作机制。加强专业人才队伍建设，鼓励高等院校扩大职业卫生及相关专业招生规模。推动企业职业健康管理队伍建设，提升企业</w:t>
      </w:r>
      <w:r>
        <w:rPr>
          <w:spacing w:val="1"/>
          <w:w w:val="95"/>
        </w:rPr>
        <w:t>职业健康管理能力。</w:t>
      </w:r>
      <w:r>
        <w:rPr>
          <w:rFonts w:hint="eastAsia" w:ascii="楷体" w:eastAsia="楷体"/>
          <w:w w:val="95"/>
        </w:rPr>
        <w:t>（</w:t>
      </w:r>
      <w:r>
        <w:rPr>
          <w:rFonts w:hint="eastAsia" w:ascii="楷体" w:eastAsia="楷体"/>
          <w:spacing w:val="-3"/>
          <w:w w:val="95"/>
        </w:rPr>
        <w:t xml:space="preserve">卫生健康委牵头，发展改革委、教育部、 </w:t>
      </w:r>
      <w:r>
        <w:rPr>
          <w:rFonts w:hint="eastAsia" w:ascii="楷体" w:eastAsia="楷体"/>
          <w:spacing w:val="-3"/>
        </w:rPr>
        <w:t>财政部、人力资源社会保障部按职责分工负责）</w:t>
      </w:r>
    </w:p>
    <w:p>
      <w:pPr>
        <w:pStyle w:val="10"/>
        <w:numPr>
          <w:ilvl w:val="0"/>
          <w:numId w:val="26"/>
        </w:numPr>
        <w:tabs>
          <w:tab w:val="left" w:pos="1052"/>
        </w:tabs>
        <w:spacing w:before="11" w:after="0" w:line="350" w:lineRule="auto"/>
        <w:ind w:left="171" w:right="110" w:firstLine="638"/>
        <w:jc w:val="left"/>
        <w:rPr>
          <w:rFonts w:hint="eastAsia" w:ascii="楷体" w:eastAsia="楷体"/>
          <w:sz w:val="32"/>
        </w:rPr>
      </w:pPr>
      <w:r>
        <w:rPr>
          <w:spacing w:val="-9"/>
          <w:w w:val="95"/>
          <w:sz w:val="32"/>
        </w:rPr>
        <w:t xml:space="preserve">加强职业健康监管体系建设，健全职业健康监管执法队伍， </w:t>
      </w:r>
      <w:r>
        <w:rPr>
          <w:spacing w:val="5"/>
          <w:sz w:val="32"/>
        </w:rPr>
        <w:t>重点加强县（区</w:t>
      </w:r>
      <w:r>
        <w:rPr>
          <w:spacing w:val="7"/>
          <w:sz w:val="32"/>
        </w:rPr>
        <w:t>）</w:t>
      </w:r>
      <w:r>
        <w:rPr>
          <w:spacing w:val="5"/>
          <w:sz w:val="32"/>
        </w:rPr>
        <w:t>、乡镇（街道</w:t>
      </w:r>
      <w:r>
        <w:rPr>
          <w:spacing w:val="7"/>
          <w:sz w:val="32"/>
        </w:rPr>
        <w:t>）</w:t>
      </w:r>
      <w:r>
        <w:rPr>
          <w:spacing w:val="4"/>
          <w:sz w:val="32"/>
        </w:rPr>
        <w:t>等基层执法力量，加强执法装备建设。加大用人单位监管力度，督促用人单位切实落实职业病防治主体责任。</w:t>
      </w:r>
      <w:r>
        <w:rPr>
          <w:rFonts w:hint="eastAsia" w:ascii="楷体" w:eastAsia="楷体"/>
          <w:spacing w:val="5"/>
          <w:sz w:val="32"/>
        </w:rPr>
        <w:t>（</w:t>
      </w:r>
      <w:r>
        <w:rPr>
          <w:rFonts w:hint="eastAsia" w:ascii="楷体" w:eastAsia="楷体"/>
          <w:spacing w:val="4"/>
          <w:sz w:val="32"/>
        </w:rPr>
        <w:t>卫生健康委牵头，发展改革委、财政部按职责分工负责）</w:t>
      </w:r>
    </w:p>
    <w:p>
      <w:pPr>
        <w:pStyle w:val="10"/>
        <w:numPr>
          <w:ilvl w:val="0"/>
          <w:numId w:val="26"/>
        </w:numPr>
        <w:tabs>
          <w:tab w:val="left" w:pos="1052"/>
        </w:tabs>
        <w:spacing w:before="7" w:after="0" w:line="350" w:lineRule="auto"/>
        <w:ind w:left="171" w:right="429" w:firstLine="638"/>
        <w:jc w:val="both"/>
        <w:rPr>
          <w:rFonts w:hint="eastAsia" w:ascii="楷体" w:eastAsia="楷体"/>
          <w:sz w:val="32"/>
        </w:rPr>
      </w:pPr>
      <w:r>
        <w:rPr>
          <w:spacing w:val="-10"/>
          <w:sz w:val="32"/>
        </w:rPr>
        <w:t>以农民工尘肺病为切入点，进一步加强对劳务派遣用工单</w:t>
      </w:r>
      <w:r>
        <w:rPr>
          <w:spacing w:val="4"/>
          <w:w w:val="95"/>
          <w:sz w:val="32"/>
        </w:rPr>
        <w:t xml:space="preserve">位职业病防治工作的监督检查，优化职业病诊断程序和服务流 程，提高服务质量。对加入工伤保险的尘肺病患者，加大保障 力度；对未参加工伤保险的，按规定通过医疗保险、医疗救助 等保障其医疗保障合法权益。加强部门间信息共享利用，及时 交流用人单位职业病危害、劳动者职业健康和工伤保险等信息 </w:t>
      </w:r>
      <w:r>
        <w:rPr>
          <w:spacing w:val="3"/>
          <w:w w:val="95"/>
          <w:sz w:val="32"/>
        </w:rPr>
        <w:t>数据。</w:t>
      </w:r>
      <w:r>
        <w:rPr>
          <w:rFonts w:hint="eastAsia" w:ascii="楷体" w:eastAsia="楷体"/>
          <w:spacing w:val="5"/>
          <w:w w:val="95"/>
          <w:sz w:val="32"/>
        </w:rPr>
        <w:t>（</w:t>
      </w:r>
      <w:r>
        <w:rPr>
          <w:rFonts w:hint="eastAsia" w:ascii="楷体" w:eastAsia="楷体"/>
          <w:spacing w:val="4"/>
          <w:w w:val="95"/>
          <w:sz w:val="32"/>
        </w:rPr>
        <w:t xml:space="preserve">卫生健康委牵头，发展改革委、民政部、人力资源社 </w:t>
      </w:r>
      <w:r>
        <w:rPr>
          <w:rFonts w:hint="eastAsia" w:ascii="楷体" w:eastAsia="楷体"/>
          <w:sz w:val="32"/>
        </w:rPr>
        <w:t>会保障部、医保局按职责分工负责）</w:t>
      </w:r>
    </w:p>
    <w:p>
      <w:pPr>
        <w:pStyle w:val="10"/>
        <w:numPr>
          <w:ilvl w:val="0"/>
          <w:numId w:val="26"/>
        </w:numPr>
        <w:tabs>
          <w:tab w:val="left" w:pos="1052"/>
        </w:tabs>
        <w:spacing w:before="11" w:after="0" w:line="350" w:lineRule="auto"/>
        <w:ind w:left="171" w:right="429" w:firstLine="638"/>
        <w:jc w:val="left"/>
        <w:rPr>
          <w:sz w:val="32"/>
        </w:rPr>
      </w:pPr>
      <w:r>
        <w:rPr>
          <w:spacing w:val="-8"/>
          <w:sz w:val="32"/>
        </w:rPr>
        <w:t>改进职业病危害项目申报工作，建立统一、高效的监督执</w:t>
      </w:r>
      <w:r>
        <w:rPr>
          <w:spacing w:val="4"/>
          <w:w w:val="95"/>
          <w:sz w:val="32"/>
        </w:rPr>
        <w:t>法信息管理机制。建立完善工作场所职业病危害因素检测、监</w:t>
      </w:r>
    </w:p>
    <w:p>
      <w:pPr>
        <w:spacing w:after="0" w:line="350" w:lineRule="auto"/>
        <w:jc w:val="left"/>
        <w:rPr>
          <w:sz w:val="32"/>
        </w:rPr>
        <w:sectPr>
          <w:pgSz w:w="11910" w:h="16840"/>
          <w:pgMar w:top="1540" w:right="1140" w:bottom="1380" w:left="1400" w:header="0" w:footer="1200" w:gutter="0"/>
        </w:sectPr>
      </w:pPr>
    </w:p>
    <w:p>
      <w:pPr>
        <w:pStyle w:val="3"/>
        <w:spacing w:line="350" w:lineRule="auto"/>
        <w:ind w:right="427" w:firstLine="0"/>
        <w:jc w:val="both"/>
        <w:rPr>
          <w:rFonts w:hint="eastAsia" w:ascii="楷体" w:hAnsi="楷体" w:eastAsia="楷体"/>
        </w:rPr>
      </w:pPr>
      <w:r>
        <w:rPr>
          <w:spacing w:val="4"/>
          <w:w w:val="95"/>
        </w:rPr>
        <w:t xml:space="preserve">测和职业病报告网络。适时开展工作场所职业病危害因素监测 </w:t>
      </w:r>
      <w:r>
        <w:rPr>
          <w:spacing w:val="5"/>
          <w:w w:val="95"/>
        </w:rPr>
        <w:t>和职业病专项调查，系统收集相关信息。开展</w:t>
      </w:r>
      <w:r>
        <w:rPr>
          <w:rFonts w:ascii="Times New Roman" w:hAnsi="Times New Roman" w:eastAsia="Times New Roman"/>
          <w:spacing w:val="4"/>
          <w:w w:val="95"/>
        </w:rPr>
        <w:t>“</w:t>
      </w:r>
      <w:r>
        <w:rPr>
          <w:spacing w:val="5"/>
          <w:w w:val="95"/>
        </w:rPr>
        <w:t>互联网</w:t>
      </w:r>
      <w:r>
        <w:rPr>
          <w:rFonts w:ascii="Times New Roman" w:hAnsi="Times New Roman" w:eastAsia="Times New Roman"/>
          <w:spacing w:val="4"/>
          <w:w w:val="95"/>
        </w:rPr>
        <w:t>+</w:t>
      </w:r>
      <w:r>
        <w:rPr>
          <w:spacing w:val="3"/>
          <w:w w:val="95"/>
        </w:rPr>
        <w:t xml:space="preserve">职业健 </w:t>
      </w:r>
      <w:r>
        <w:rPr>
          <w:spacing w:val="3"/>
        </w:rPr>
        <w:t>康</w:t>
      </w:r>
      <w:r>
        <w:rPr>
          <w:rFonts w:ascii="Times New Roman" w:hAnsi="Times New Roman" w:eastAsia="Times New Roman"/>
          <w:spacing w:val="3"/>
        </w:rPr>
        <w:t>”</w:t>
      </w:r>
      <w:r>
        <w:rPr>
          <w:spacing w:val="-1"/>
        </w:rPr>
        <w:t>信息化建设，建立职业卫生和放射卫生大数据平台，利用信</w:t>
      </w:r>
      <w:r>
        <w:rPr>
          <w:spacing w:val="4"/>
          <w:w w:val="95"/>
        </w:rPr>
        <w:t>息化提高监管效率。</w:t>
      </w:r>
      <w:r>
        <w:rPr>
          <w:rFonts w:hint="eastAsia" w:ascii="楷体" w:hAnsi="楷体" w:eastAsia="楷体"/>
          <w:spacing w:val="5"/>
          <w:w w:val="95"/>
        </w:rPr>
        <w:t>（</w:t>
      </w:r>
      <w:r>
        <w:rPr>
          <w:rFonts w:hint="eastAsia" w:ascii="楷体" w:hAnsi="楷体" w:eastAsia="楷体"/>
          <w:spacing w:val="4"/>
          <w:w w:val="95"/>
        </w:rPr>
        <w:t xml:space="preserve">卫生健康委牵头，发展改革委、财政部 </w:t>
      </w:r>
      <w:r>
        <w:rPr>
          <w:rFonts w:hint="eastAsia" w:ascii="楷体" w:hAnsi="楷体" w:eastAsia="楷体"/>
          <w:spacing w:val="4"/>
        </w:rPr>
        <w:t>按职责分工负责）</w:t>
      </w:r>
    </w:p>
    <w:p>
      <w:pPr>
        <w:pStyle w:val="10"/>
        <w:numPr>
          <w:ilvl w:val="0"/>
          <w:numId w:val="26"/>
        </w:numPr>
        <w:tabs>
          <w:tab w:val="left" w:pos="1052"/>
        </w:tabs>
        <w:spacing w:before="7" w:after="0" w:line="350" w:lineRule="auto"/>
        <w:ind w:left="171" w:right="270" w:firstLine="638"/>
        <w:jc w:val="left"/>
        <w:rPr>
          <w:rFonts w:hint="eastAsia" w:ascii="楷体" w:hAnsi="楷体" w:eastAsia="楷体"/>
          <w:sz w:val="32"/>
        </w:rPr>
      </w:pPr>
      <w:r>
        <w:rPr>
          <w:sz w:val="32"/>
        </w:rPr>
        <w:t>将</w:t>
      </w:r>
      <w:r>
        <w:rPr>
          <w:rFonts w:ascii="Times New Roman" w:hAnsi="Times New Roman" w:eastAsia="Times New Roman"/>
          <w:sz w:val="32"/>
        </w:rPr>
        <w:t>“</w:t>
      </w:r>
      <w:r>
        <w:rPr>
          <w:sz w:val="32"/>
        </w:rPr>
        <w:t>健康企业</w:t>
      </w:r>
      <w:r>
        <w:rPr>
          <w:rFonts w:ascii="Times New Roman" w:hAnsi="Times New Roman" w:eastAsia="Times New Roman"/>
          <w:sz w:val="32"/>
        </w:rPr>
        <w:t>”</w:t>
      </w:r>
      <w:r>
        <w:rPr>
          <w:spacing w:val="-5"/>
          <w:sz w:val="32"/>
        </w:rPr>
        <w:t>建设作为健康城市建设的重要内容，逐步拓</w:t>
      </w:r>
      <w:r>
        <w:rPr>
          <w:spacing w:val="4"/>
          <w:sz w:val="32"/>
        </w:rPr>
        <w:t>宽丰富职业健康范围，积极研究将工作压力、肌肉骨骼疾病等新职业病危害纳入保护范围。推进企业依法履行职业病防治等</w:t>
      </w:r>
      <w:r>
        <w:rPr>
          <w:spacing w:val="-1"/>
          <w:sz w:val="32"/>
        </w:rPr>
        <w:t xml:space="preserve">相关法定责任和义务，营造企业健康文化，履行企业社会责任， </w:t>
      </w:r>
      <w:r>
        <w:rPr>
          <w:spacing w:val="5"/>
          <w:sz w:val="32"/>
        </w:rPr>
        <w:t>有效保障劳动者的健康和福祉。</w:t>
      </w:r>
      <w:r>
        <w:rPr>
          <w:rFonts w:hint="eastAsia" w:ascii="楷体" w:hAnsi="楷体" w:eastAsia="楷体"/>
          <w:spacing w:val="5"/>
          <w:sz w:val="32"/>
        </w:rPr>
        <w:t>（</w:t>
      </w:r>
      <w:r>
        <w:rPr>
          <w:rFonts w:hint="eastAsia" w:ascii="楷体" w:hAnsi="楷体" w:eastAsia="楷体"/>
          <w:spacing w:val="4"/>
          <w:sz w:val="32"/>
        </w:rPr>
        <w:t>卫生健康委牵头，人力资源社会保障部、国务院国资委、全国总工会、全国妇联按职责分工负责）</w:t>
      </w:r>
    </w:p>
    <w:p>
      <w:pPr>
        <w:pStyle w:val="2"/>
        <w:spacing w:before="9"/>
      </w:pPr>
      <w:bookmarkStart w:id="58" w:name="_TOC_250005"/>
      <w:bookmarkEnd w:id="58"/>
      <w:r>
        <w:t>（十）老年健康促进行动。</w:t>
      </w:r>
    </w:p>
    <w:p>
      <w:pPr>
        <w:pStyle w:val="3"/>
        <w:spacing w:before="190"/>
        <w:ind w:left="810" w:right="0" w:firstLine="0"/>
        <w:jc w:val="both"/>
      </w:pPr>
      <w:r>
        <w:t>我国是世界上老年人口最多的国家。截至 2018 年底，我国</w:t>
      </w:r>
    </w:p>
    <w:p>
      <w:pPr>
        <w:pStyle w:val="3"/>
        <w:spacing w:before="190" w:line="350" w:lineRule="auto"/>
        <w:ind w:firstLine="0"/>
        <w:jc w:val="both"/>
      </w:pPr>
      <w:r>
        <w:t>60</w:t>
      </w:r>
      <w:r>
        <w:rPr>
          <w:spacing w:val="-17"/>
        </w:rPr>
        <w:t xml:space="preserve"> 岁及以上老年人口约 </w:t>
      </w:r>
      <w:r>
        <w:t>2.49</w:t>
      </w:r>
      <w:r>
        <w:rPr>
          <w:spacing w:val="-27"/>
        </w:rPr>
        <w:t xml:space="preserve"> 亿，占总人口的 </w:t>
      </w:r>
      <w:r>
        <w:rPr>
          <w:spacing w:val="-7"/>
        </w:rPr>
        <w:t>17.9%；65</w:t>
      </w:r>
      <w:r>
        <w:rPr>
          <w:spacing w:val="-21"/>
        </w:rPr>
        <w:t xml:space="preserve"> 岁及以</w:t>
      </w:r>
      <w:r>
        <w:rPr>
          <w:spacing w:val="-33"/>
        </w:rPr>
        <w:t xml:space="preserve">上人口约 </w:t>
      </w:r>
      <w:r>
        <w:t>1.67</w:t>
      </w:r>
      <w:r>
        <w:rPr>
          <w:spacing w:val="-19"/>
        </w:rPr>
        <w:t xml:space="preserve"> 亿，占总人口的 </w:t>
      </w:r>
      <w:r>
        <w:t>11.9%。我国老年人整体健康状</w:t>
      </w:r>
      <w:r>
        <w:rPr>
          <w:spacing w:val="-19"/>
        </w:rPr>
        <w:t xml:space="preserve">况不容乐观，近 </w:t>
      </w:r>
      <w:r>
        <w:rPr>
          <w:rFonts w:ascii="Times New Roman" w:eastAsia="Times New Roman"/>
        </w:rPr>
        <w:t>1.8</w:t>
      </w:r>
      <w:r>
        <w:rPr>
          <w:rFonts w:ascii="Times New Roman" w:eastAsia="Times New Roman"/>
          <w:spacing w:val="-6"/>
        </w:rPr>
        <w:t xml:space="preserve"> </w:t>
      </w:r>
      <w:r>
        <w:rPr>
          <w:spacing w:val="-6"/>
        </w:rPr>
        <w:t>亿老年人患有慢性病，患有一种及以上慢性</w:t>
      </w:r>
      <w:r>
        <w:rPr>
          <w:spacing w:val="-18"/>
        </w:rPr>
        <w:t xml:space="preserve">病的比例高达 </w:t>
      </w:r>
      <w:r>
        <w:rPr>
          <w:rFonts w:ascii="Times New Roman" w:eastAsia="Times New Roman"/>
        </w:rPr>
        <w:t>75%</w:t>
      </w:r>
      <w:r>
        <w:rPr>
          <w:spacing w:val="-13"/>
        </w:rPr>
        <w:t xml:space="preserve">。失能、部分失能老年人约 </w:t>
      </w:r>
      <w:r>
        <w:rPr>
          <w:rFonts w:ascii="Times New Roman" w:eastAsia="Times New Roman"/>
        </w:rPr>
        <w:t>4000</w:t>
      </w:r>
      <w:r>
        <w:rPr>
          <w:rFonts w:ascii="Times New Roman" w:eastAsia="Times New Roman"/>
          <w:spacing w:val="-4"/>
        </w:rPr>
        <w:t xml:space="preserve"> </w:t>
      </w:r>
      <w:r>
        <w:rPr>
          <w:spacing w:val="-5"/>
        </w:rPr>
        <w:t>万。开展老</w:t>
      </w:r>
      <w:r>
        <w:rPr>
          <w:spacing w:val="4"/>
          <w:w w:val="95"/>
        </w:rPr>
        <w:t xml:space="preserve">年健康促进行动，对于提高老年人的健康水平、改善老年人生 </w:t>
      </w:r>
      <w:r>
        <w:t>活质量、实现健康老龄化具有重要意义。</w:t>
      </w:r>
    </w:p>
    <w:p>
      <w:pPr>
        <w:pStyle w:val="3"/>
        <w:spacing w:before="9"/>
        <w:ind w:left="810" w:right="0" w:firstLine="0"/>
        <w:rPr>
          <w:rFonts w:hint="eastAsia" w:ascii="黑体" w:eastAsia="黑体"/>
        </w:rPr>
      </w:pPr>
      <w:r>
        <w:rPr>
          <w:rFonts w:hint="eastAsia" w:ascii="黑体" w:eastAsia="黑体"/>
        </w:rPr>
        <w:t>行动目标：</w:t>
      </w:r>
    </w:p>
    <w:p>
      <w:pPr>
        <w:pStyle w:val="3"/>
        <w:spacing w:before="190" w:line="350" w:lineRule="auto"/>
      </w:pPr>
      <w:r>
        <w:rPr>
          <w:spacing w:val="-38"/>
        </w:rPr>
        <w:t xml:space="preserve">到 </w:t>
      </w:r>
      <w:r>
        <w:rPr>
          <w:rFonts w:ascii="Times New Roman" w:eastAsia="Times New Roman"/>
        </w:rPr>
        <w:t xml:space="preserve">2022 </w:t>
      </w:r>
      <w:r>
        <w:rPr>
          <w:spacing w:val="-26"/>
        </w:rPr>
        <w:t xml:space="preserve">年和 </w:t>
      </w:r>
      <w:r>
        <w:rPr>
          <w:rFonts w:ascii="Times New Roman" w:eastAsia="Times New Roman"/>
        </w:rPr>
        <w:t xml:space="preserve">2030 </w:t>
      </w:r>
      <w:r>
        <w:t>年，</w:t>
      </w:r>
      <w:r>
        <w:rPr>
          <w:rFonts w:ascii="Times New Roman" w:eastAsia="Times New Roman"/>
        </w:rPr>
        <w:t>65</w:t>
      </w:r>
      <w:r>
        <w:t>～</w:t>
      </w:r>
      <w:r>
        <w:rPr>
          <w:rFonts w:ascii="Times New Roman" w:eastAsia="Times New Roman"/>
        </w:rPr>
        <w:t xml:space="preserve">74 </w:t>
      </w:r>
      <w:r>
        <w:t>岁老年人失能发生率有所下降；</w:t>
      </w:r>
      <w:r>
        <w:rPr>
          <w:rFonts w:ascii="Times New Roman" w:eastAsia="Times New Roman"/>
        </w:rPr>
        <w:t xml:space="preserve">65 </w:t>
      </w:r>
      <w:r>
        <w:t>岁及以上人群老年期痴呆患病率增速下降；二级以上综</w:t>
      </w:r>
    </w:p>
    <w:p>
      <w:pPr>
        <w:spacing w:after="0" w:line="350" w:lineRule="auto"/>
        <w:sectPr>
          <w:pgSz w:w="11910" w:h="16840"/>
          <w:pgMar w:top="1540" w:right="1140" w:bottom="1380" w:left="1400" w:header="0" w:footer="1200" w:gutter="0"/>
        </w:sectPr>
      </w:pPr>
    </w:p>
    <w:p>
      <w:pPr>
        <w:pStyle w:val="3"/>
        <w:spacing w:line="350" w:lineRule="auto"/>
        <w:ind w:right="180" w:firstLine="0"/>
      </w:pPr>
      <w:r>
        <w:rPr>
          <w:spacing w:val="-6"/>
        </w:rPr>
        <w:t xml:space="preserve">合性医院设老年医学科比例分别达到 </w:t>
      </w:r>
      <w:r>
        <w:rPr>
          <w:rFonts w:ascii="Times New Roman" w:eastAsia="Times New Roman"/>
        </w:rPr>
        <w:t>50%</w:t>
      </w:r>
      <w:r>
        <w:rPr>
          <w:spacing w:val="-17"/>
        </w:rPr>
        <w:t xml:space="preserve">及以上和 </w:t>
      </w:r>
      <w:r>
        <w:rPr>
          <w:rFonts w:ascii="Times New Roman" w:eastAsia="Times New Roman"/>
        </w:rPr>
        <w:t>90%</w:t>
      </w:r>
      <w:r>
        <w:t xml:space="preserve">及以上； </w:t>
      </w:r>
      <w:r>
        <w:rPr>
          <w:spacing w:val="-5"/>
        </w:rPr>
        <w:t xml:space="preserve">三级中医医院设置康复科比例分别达到 </w:t>
      </w:r>
      <w:r>
        <w:rPr>
          <w:rFonts w:ascii="Times New Roman" w:eastAsia="Times New Roman"/>
        </w:rPr>
        <w:t>75%</w:t>
      </w:r>
      <w:r>
        <w:rPr>
          <w:spacing w:val="-39"/>
        </w:rPr>
        <w:t xml:space="preserve">和 </w:t>
      </w:r>
      <w:r>
        <w:rPr>
          <w:rFonts w:ascii="Times New Roman" w:eastAsia="Times New Roman"/>
          <w:spacing w:val="2"/>
        </w:rPr>
        <w:t>90%</w:t>
      </w:r>
      <w:r>
        <w:t>；养老机构</w:t>
      </w:r>
      <w:r>
        <w:rPr>
          <w:spacing w:val="4"/>
        </w:rPr>
        <w:t>以不同形式为入住老年人提供医疗卫生服务比例、医疗机构为</w:t>
      </w:r>
      <w:r>
        <w:t xml:space="preserve">老年人提供挂号就医等便利服务绿色通道比例分别达到 </w:t>
      </w:r>
      <w:r>
        <w:rPr>
          <w:rFonts w:ascii="Times New Roman" w:eastAsia="Times New Roman"/>
        </w:rPr>
        <w:t>100%</w:t>
      </w:r>
      <w:r>
        <w:t xml:space="preserve">； </w:t>
      </w:r>
      <w:r>
        <w:rPr>
          <w:spacing w:val="4"/>
        </w:rPr>
        <w:t>加强社区日间照料中心等社区养老机构建设，为居家养老提供依托；逐步建立支持家庭养老的政策体系，支持成年子女和老年父母共同生活，推动夯实居家社区养老服务基础 。</w:t>
      </w:r>
    </w:p>
    <w:p>
      <w:pPr>
        <w:pStyle w:val="3"/>
        <w:spacing w:before="10" w:line="350" w:lineRule="auto"/>
        <w:jc w:val="both"/>
      </w:pPr>
      <w:r>
        <w:rPr>
          <w:spacing w:val="4"/>
          <w:w w:val="95"/>
        </w:rPr>
        <w:t xml:space="preserve">提倡老年人知晓健康核心信息；老年人参加定期体检，经 常监测呼吸、脉搏、血压、大小便情况，接受家庭医生团队的 健康指导；鼓励和支持老年大学、老年活动中心、基层老年协 会、有资质的社会组织等为老年人组织开展健康活动；鼓励和 </w:t>
      </w:r>
      <w:r>
        <w:t>支持社会力量参与、兴办居家养老服务机构。</w:t>
      </w:r>
    </w:p>
    <w:p>
      <w:pPr>
        <w:pStyle w:val="2"/>
        <w:rPr>
          <w:rFonts w:hint="eastAsia" w:ascii="仿宋" w:hAnsi="仿宋" w:eastAsia="仿宋"/>
        </w:rPr>
      </w:pPr>
      <w:bookmarkStart w:id="59" w:name="——个人和家庭："/>
      <w:bookmarkEnd w:id="59"/>
      <w:r>
        <w:rPr>
          <w:rFonts w:ascii="Times New Roman" w:hAnsi="Times New Roman" w:eastAsia="Times New Roman"/>
        </w:rPr>
        <w:t>——</w:t>
      </w:r>
      <w:r>
        <w:rPr>
          <w:rFonts w:hint="eastAsia" w:ascii="仿宋" w:hAnsi="仿宋" w:eastAsia="仿宋"/>
        </w:rPr>
        <w:t>个人和家庭：</w:t>
      </w:r>
    </w:p>
    <w:p>
      <w:pPr>
        <w:pStyle w:val="10"/>
        <w:numPr>
          <w:ilvl w:val="0"/>
          <w:numId w:val="27"/>
        </w:numPr>
        <w:tabs>
          <w:tab w:val="left" w:pos="1052"/>
        </w:tabs>
        <w:spacing w:before="190" w:after="0" w:line="350" w:lineRule="auto"/>
        <w:ind w:left="171" w:right="270" w:firstLine="638"/>
        <w:jc w:val="left"/>
        <w:rPr>
          <w:sz w:val="32"/>
        </w:rPr>
      </w:pPr>
      <w:r>
        <w:rPr>
          <w:spacing w:val="-19"/>
          <w:w w:val="95"/>
          <w:sz w:val="32"/>
        </w:rPr>
        <w:t xml:space="preserve">改善营养状况。主动学习老年人膳食知识，精心设计膳食， </w:t>
      </w:r>
      <w:r>
        <w:rPr>
          <w:spacing w:val="-12"/>
          <w:sz w:val="32"/>
        </w:rPr>
        <w:t>选择营养食品，保证食物摄入量充足，吃足量的鱼、虾、瘦肉、</w:t>
      </w:r>
      <w:r>
        <w:rPr>
          <w:spacing w:val="4"/>
          <w:sz w:val="32"/>
        </w:rPr>
        <w:t>鸡蛋、牛奶、大豆及豆制品，多晒太阳，适量运动，有意识地预防营养缺乏，延缓肌肉衰减和骨质疏松。老年人的体重指数</w:t>
      </w:r>
    </w:p>
    <w:p>
      <w:pPr>
        <w:pStyle w:val="3"/>
        <w:spacing w:before="6" w:line="350" w:lineRule="auto"/>
        <w:ind w:firstLine="0"/>
        <w:jc w:val="both"/>
      </w:pPr>
      <w:r>
        <w:rPr>
          <w:spacing w:val="3"/>
          <w:w w:val="95"/>
        </w:rPr>
        <w:t>（</w:t>
      </w:r>
      <w:r>
        <w:rPr>
          <w:rFonts w:ascii="Times New Roman" w:eastAsia="Times New Roman"/>
          <w:spacing w:val="3"/>
          <w:w w:val="95"/>
        </w:rPr>
        <w:t>BMI</w:t>
      </w:r>
      <w:r>
        <w:rPr>
          <w:spacing w:val="3"/>
          <w:w w:val="95"/>
        </w:rPr>
        <w:t>）</w:t>
      </w:r>
      <w:r>
        <w:rPr>
          <w:spacing w:val="6"/>
          <w:w w:val="95"/>
        </w:rPr>
        <w:t xml:space="preserve">在全人群正常值偏高的一侧为宜，消瘦的老年人可采 </w:t>
      </w:r>
      <w:r>
        <w:rPr>
          <w:spacing w:val="4"/>
          <w:w w:val="95"/>
        </w:rPr>
        <w:t xml:space="preserve">用多种方法增加食欲和进食量，吃好三餐，合理加餐。消化能 </w:t>
      </w:r>
      <w:r>
        <w:t>力明显降低的老年人宜制作细软食物，少量多餐。</w:t>
      </w:r>
    </w:p>
    <w:p>
      <w:pPr>
        <w:pStyle w:val="10"/>
        <w:numPr>
          <w:ilvl w:val="0"/>
          <w:numId w:val="27"/>
        </w:numPr>
        <w:tabs>
          <w:tab w:val="left" w:pos="1052"/>
        </w:tabs>
        <w:spacing w:before="4" w:after="0" w:line="350" w:lineRule="auto"/>
        <w:ind w:left="171" w:right="429" w:firstLine="638"/>
        <w:jc w:val="both"/>
        <w:rPr>
          <w:sz w:val="32"/>
        </w:rPr>
      </w:pPr>
      <w:r>
        <w:rPr>
          <w:spacing w:val="-11"/>
          <w:sz w:val="32"/>
        </w:rPr>
        <w:t>加强体育锻炼。选择与自身体质和健康状况相适应的运动</w:t>
      </w:r>
      <w:r>
        <w:rPr>
          <w:spacing w:val="4"/>
          <w:w w:val="95"/>
          <w:sz w:val="32"/>
        </w:rPr>
        <w:t>方式，量力而行地进行体育锻炼。在重视有氧运动的同时，重 视肌肉力量练习和柔韧性锻炼，适当进行平衡能力锻炼，强健</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pPr>
      <w:r>
        <w:rPr>
          <w:spacing w:val="4"/>
          <w:w w:val="95"/>
        </w:rPr>
        <w:t xml:space="preserve">骨骼肌肉系统，预防跌倒。参加运动期间，建议根据身体健康 </w:t>
      </w:r>
      <w:r>
        <w:t>状况及时调整运动量。</w:t>
      </w:r>
    </w:p>
    <w:p>
      <w:pPr>
        <w:pStyle w:val="10"/>
        <w:numPr>
          <w:ilvl w:val="0"/>
          <w:numId w:val="27"/>
        </w:numPr>
        <w:tabs>
          <w:tab w:val="left" w:pos="1052"/>
        </w:tabs>
        <w:spacing w:before="3" w:after="0" w:line="350" w:lineRule="auto"/>
        <w:ind w:left="171" w:right="270" w:firstLine="638"/>
        <w:jc w:val="left"/>
        <w:rPr>
          <w:sz w:val="32"/>
        </w:rPr>
      </w:pPr>
      <w:r>
        <w:rPr>
          <w:spacing w:val="-20"/>
          <w:w w:val="95"/>
          <w:sz w:val="32"/>
        </w:rPr>
        <w:t xml:space="preserve">参加定期体检。经常监测呼吸、脉搏、血压、大小便情况， </w:t>
      </w:r>
      <w:r>
        <w:rPr>
          <w:spacing w:val="4"/>
          <w:sz w:val="32"/>
        </w:rPr>
        <w:t>发现异常情况及时做好记录，必要时就诊。积极配合家庭医生团队完成健康状况评估、体格检查、辅助检查，了解自身脑、心、肺、胃、肝、肾等主要器官的功能情况，接受家庭医生团队的健康指导。</w:t>
      </w:r>
    </w:p>
    <w:p>
      <w:pPr>
        <w:pStyle w:val="10"/>
        <w:numPr>
          <w:ilvl w:val="0"/>
          <w:numId w:val="27"/>
        </w:numPr>
        <w:tabs>
          <w:tab w:val="left" w:pos="1052"/>
        </w:tabs>
        <w:spacing w:before="7" w:after="0" w:line="350" w:lineRule="auto"/>
        <w:ind w:left="171" w:right="270" w:firstLine="638"/>
        <w:jc w:val="both"/>
        <w:rPr>
          <w:sz w:val="32"/>
        </w:rPr>
      </w:pPr>
      <w:r>
        <w:rPr>
          <w:spacing w:val="-11"/>
          <w:sz w:val="32"/>
        </w:rPr>
        <w:t>做好慢病管理。患有慢性病的老年人应树立战胜疾病的信</w:t>
      </w:r>
      <w:r>
        <w:rPr>
          <w:spacing w:val="4"/>
          <w:sz w:val="32"/>
        </w:rPr>
        <w:t xml:space="preserve">心，配合医生积极治疗，主动向医生咨询慢性病自我管理的知识、技能，并在医生指导下，做好自我管理，延缓病情进展， </w:t>
      </w:r>
      <w:r>
        <w:rPr>
          <w:spacing w:val="-1"/>
          <w:w w:val="95"/>
          <w:sz w:val="32"/>
        </w:rPr>
        <w:t>减少并发症，学习并运用老年人中医饮食调养，改善生活质量。</w:t>
      </w:r>
    </w:p>
    <w:p>
      <w:pPr>
        <w:pStyle w:val="10"/>
        <w:numPr>
          <w:ilvl w:val="0"/>
          <w:numId w:val="27"/>
        </w:numPr>
        <w:tabs>
          <w:tab w:val="left" w:pos="1052"/>
        </w:tabs>
        <w:spacing w:before="5" w:after="0" w:line="350" w:lineRule="auto"/>
        <w:ind w:left="171" w:right="270" w:firstLine="638"/>
        <w:jc w:val="left"/>
        <w:rPr>
          <w:sz w:val="32"/>
        </w:rPr>
      </w:pPr>
      <w:r>
        <w:rPr>
          <w:spacing w:val="-11"/>
          <w:sz w:val="32"/>
        </w:rPr>
        <w:t>促进精神健康。了解老年是生命的一个过程，坦然面对老</w:t>
      </w:r>
      <w:r>
        <w:rPr>
          <w:spacing w:val="-12"/>
          <w:w w:val="95"/>
          <w:sz w:val="32"/>
        </w:rPr>
        <w:t xml:space="preserve">年生活身体和环境的变化。多运动、多用脑、多参与社会交往， </w:t>
      </w:r>
      <w:r>
        <w:rPr>
          <w:spacing w:val="-14"/>
          <w:sz w:val="32"/>
        </w:rPr>
        <w:t>通过健康的生活方式延缓衰老、预防精神障碍和心理行为问题。</w:t>
      </w:r>
      <w:r>
        <w:rPr>
          <w:spacing w:val="4"/>
          <w:sz w:val="32"/>
        </w:rPr>
        <w:t>老年人及其家属要了解老年期痴呆等疾病的有关知识，发现可疑症状及时到专业机构检查，做到早发现、早诊断、早治疗。一旦确诊老年人患有精神疾病，家属应注重对患者的关爱和照护，帮助患者积极遵循治疗训练方案。对认知退化严重的老年人，要照顾好其饮食起居，防止走失。</w:t>
      </w:r>
    </w:p>
    <w:p>
      <w:pPr>
        <w:pStyle w:val="10"/>
        <w:numPr>
          <w:ilvl w:val="0"/>
          <w:numId w:val="27"/>
        </w:numPr>
        <w:tabs>
          <w:tab w:val="left" w:pos="1052"/>
        </w:tabs>
        <w:spacing w:before="11" w:after="0" w:line="350" w:lineRule="auto"/>
        <w:ind w:left="171" w:right="270" w:firstLine="638"/>
        <w:jc w:val="left"/>
        <w:rPr>
          <w:sz w:val="32"/>
        </w:rPr>
      </w:pPr>
      <w:r>
        <w:rPr>
          <w:spacing w:val="-19"/>
          <w:w w:val="95"/>
          <w:sz w:val="32"/>
        </w:rPr>
        <w:t xml:space="preserve">注意安全用药。老年人共病发病率高，且药物代谢、转化、 </w:t>
      </w:r>
      <w:r>
        <w:rPr>
          <w:spacing w:val="4"/>
          <w:sz w:val="32"/>
        </w:rPr>
        <w:t>排泄能力下降，容易发生药物不良反应。生病及时就医，在医生指导下用药。主动监测用药情况，记录用药后主观感受和不良反应，复诊时及时向医生反馈。</w:t>
      </w:r>
    </w:p>
    <w:p>
      <w:pPr>
        <w:spacing w:after="0" w:line="350" w:lineRule="auto"/>
        <w:jc w:val="left"/>
        <w:rPr>
          <w:sz w:val="32"/>
        </w:rPr>
        <w:sectPr>
          <w:pgSz w:w="11910" w:h="16840"/>
          <w:pgMar w:top="1540" w:right="1140" w:bottom="1380" w:left="1400" w:header="0" w:footer="1200" w:gutter="0"/>
        </w:sectPr>
      </w:pPr>
    </w:p>
    <w:p>
      <w:pPr>
        <w:pStyle w:val="10"/>
        <w:numPr>
          <w:ilvl w:val="0"/>
          <w:numId w:val="27"/>
        </w:numPr>
        <w:tabs>
          <w:tab w:val="left" w:pos="1052"/>
        </w:tabs>
        <w:spacing w:before="43" w:after="0" w:line="350" w:lineRule="auto"/>
        <w:ind w:left="171" w:right="429" w:firstLine="638"/>
        <w:jc w:val="both"/>
        <w:rPr>
          <w:sz w:val="32"/>
        </w:rPr>
      </w:pPr>
      <w:r>
        <w:rPr>
          <w:spacing w:val="-11"/>
          <w:sz w:val="32"/>
        </w:rPr>
        <w:t>注重家庭支持。提倡家庭成员学习了解老年人健康维护的</w:t>
      </w:r>
      <w:r>
        <w:rPr>
          <w:spacing w:val="4"/>
          <w:w w:val="95"/>
          <w:sz w:val="32"/>
        </w:rPr>
        <w:t xml:space="preserve">相关知识和技能，照顾好其饮食起居，关心关爱老年人心理、 身体和行为变化情况，及早发现异常情况，及时安排就诊，并 使家居环境保证足够的照明亮度，地面采取防滑措施并保持干 </w:t>
      </w:r>
      <w:r>
        <w:rPr>
          <w:sz w:val="32"/>
        </w:rPr>
        <w:t>燥，在水池旁、马桶旁、浴室安装扶手，预防老年人跌倒。</w:t>
      </w:r>
    </w:p>
    <w:p>
      <w:pPr>
        <w:pStyle w:val="2"/>
        <w:spacing w:before="7"/>
        <w:rPr>
          <w:rFonts w:hint="eastAsia" w:ascii="仿宋" w:hAnsi="仿宋" w:eastAsia="仿宋"/>
        </w:rPr>
      </w:pPr>
      <w:bookmarkStart w:id="60" w:name="——社会："/>
      <w:bookmarkEnd w:id="60"/>
      <w:r>
        <w:rPr>
          <w:rFonts w:ascii="Times New Roman" w:hAnsi="Times New Roman" w:eastAsia="Times New Roman"/>
        </w:rPr>
        <w:t>——</w:t>
      </w:r>
      <w:r>
        <w:rPr>
          <w:rFonts w:hint="eastAsia" w:ascii="仿宋" w:hAnsi="仿宋" w:eastAsia="仿宋"/>
        </w:rPr>
        <w:t>社会：</w:t>
      </w:r>
    </w:p>
    <w:p>
      <w:pPr>
        <w:pStyle w:val="10"/>
        <w:numPr>
          <w:ilvl w:val="0"/>
          <w:numId w:val="28"/>
        </w:numPr>
        <w:tabs>
          <w:tab w:val="left" w:pos="1052"/>
        </w:tabs>
        <w:spacing w:before="190" w:after="0" w:line="350" w:lineRule="auto"/>
        <w:ind w:left="171" w:right="429" w:firstLine="638"/>
        <w:jc w:val="both"/>
        <w:rPr>
          <w:sz w:val="32"/>
        </w:rPr>
      </w:pPr>
      <w:r>
        <w:rPr>
          <w:spacing w:val="-7"/>
          <w:w w:val="95"/>
          <w:sz w:val="32"/>
        </w:rPr>
        <w:t xml:space="preserve">全社会进一步关注和关爱老年人，构建尊老、孝老的社区 </w:t>
      </w:r>
      <w:r>
        <w:rPr>
          <w:spacing w:val="4"/>
          <w:w w:val="95"/>
          <w:sz w:val="32"/>
        </w:rPr>
        <w:t xml:space="preserve">环境，鼓励老年大学、老年活动中心、基层老年协会、有资质 的社会组织等宣传心理健康知识，组织开展有益身心的活动； 培训专兼职社会工作者和心理工作者。引入社会力量，为有需 要的老年人提供心理辅导、情绪疏解、悲伤抚慰等心理健康服 </w:t>
      </w:r>
      <w:r>
        <w:rPr>
          <w:sz w:val="32"/>
        </w:rPr>
        <w:t>务。</w:t>
      </w:r>
    </w:p>
    <w:p>
      <w:pPr>
        <w:pStyle w:val="10"/>
        <w:numPr>
          <w:ilvl w:val="0"/>
          <w:numId w:val="28"/>
        </w:numPr>
        <w:tabs>
          <w:tab w:val="left" w:pos="1052"/>
        </w:tabs>
        <w:spacing w:before="8" w:after="0" w:line="350" w:lineRule="auto"/>
        <w:ind w:left="171" w:right="429" w:firstLine="638"/>
        <w:jc w:val="both"/>
        <w:rPr>
          <w:sz w:val="32"/>
        </w:rPr>
      </w:pPr>
      <w:r>
        <w:rPr>
          <w:spacing w:val="-9"/>
          <w:sz w:val="32"/>
        </w:rPr>
        <w:t>支持社会组织为居家、社区、机构的失能、部分失能老人</w:t>
      </w:r>
      <w:r>
        <w:rPr>
          <w:spacing w:val="4"/>
          <w:w w:val="95"/>
          <w:sz w:val="32"/>
        </w:rPr>
        <w:t xml:space="preserve">提供照护和精神慰藉服务。鼓励和支持社会力量参与、兴办居 </w:t>
      </w:r>
      <w:r>
        <w:rPr>
          <w:sz w:val="32"/>
        </w:rPr>
        <w:t>家养老服务。</w:t>
      </w:r>
    </w:p>
    <w:p>
      <w:pPr>
        <w:pStyle w:val="10"/>
        <w:numPr>
          <w:ilvl w:val="0"/>
          <w:numId w:val="28"/>
        </w:numPr>
        <w:tabs>
          <w:tab w:val="left" w:pos="1052"/>
        </w:tabs>
        <w:spacing w:before="4" w:after="0" w:line="350" w:lineRule="auto"/>
        <w:ind w:left="171" w:right="270" w:firstLine="638"/>
        <w:jc w:val="left"/>
        <w:rPr>
          <w:sz w:val="32"/>
        </w:rPr>
      </w:pPr>
      <w:r>
        <w:rPr>
          <w:spacing w:val="-6"/>
          <w:sz w:val="32"/>
        </w:rPr>
        <w:t>鼓励和支持科研机构与高新技术企业深度合作，充分运用</w:t>
      </w:r>
      <w:r>
        <w:rPr>
          <w:spacing w:val="-8"/>
          <w:sz w:val="32"/>
        </w:rPr>
        <w:t xml:space="preserve">互联网、物联网、大数据等信息技术手段，开展大型队列研究， </w:t>
      </w:r>
      <w:r>
        <w:rPr>
          <w:spacing w:val="4"/>
          <w:sz w:val="32"/>
        </w:rPr>
        <w:t>研究判定与预测老年健康的指标、标准与方法，研发可穿戴老年人健康支持技术和设备。</w:t>
      </w:r>
    </w:p>
    <w:p>
      <w:pPr>
        <w:pStyle w:val="10"/>
        <w:numPr>
          <w:ilvl w:val="0"/>
          <w:numId w:val="28"/>
        </w:numPr>
        <w:tabs>
          <w:tab w:val="left" w:pos="1052"/>
        </w:tabs>
        <w:spacing w:before="6" w:after="0" w:line="350" w:lineRule="auto"/>
        <w:ind w:left="171" w:right="429" w:firstLine="638"/>
        <w:jc w:val="both"/>
        <w:rPr>
          <w:sz w:val="32"/>
        </w:rPr>
      </w:pPr>
      <w:r>
        <w:rPr>
          <w:spacing w:val="-6"/>
          <w:sz w:val="32"/>
        </w:rPr>
        <w:t>鼓励健康服务相关企业结合老年人身心特点，大力开展健</w:t>
      </w:r>
      <w:r>
        <w:rPr>
          <w:spacing w:val="4"/>
          <w:w w:val="95"/>
          <w:sz w:val="32"/>
        </w:rPr>
        <w:t xml:space="preserve">康养生、健康体检、咨询管理、体质测定、体育健身、运动康 </w:t>
      </w:r>
      <w:r>
        <w:rPr>
          <w:sz w:val="32"/>
        </w:rPr>
        <w:t>复、健康旅游等多样化服务。</w:t>
      </w:r>
    </w:p>
    <w:p>
      <w:pPr>
        <w:pStyle w:val="2"/>
        <w:spacing w:before="4"/>
        <w:rPr>
          <w:rFonts w:hint="eastAsia" w:ascii="仿宋" w:hAnsi="仿宋" w:eastAsia="仿宋"/>
        </w:rPr>
      </w:pPr>
      <w:bookmarkStart w:id="61" w:name="——政府："/>
      <w:bookmarkEnd w:id="61"/>
      <w:r>
        <w:rPr>
          <w:rFonts w:ascii="Times New Roman" w:hAnsi="Times New Roman" w:eastAsia="Times New Roman"/>
        </w:rPr>
        <w:t>——</w:t>
      </w:r>
      <w:r>
        <w:rPr>
          <w:rFonts w:hint="eastAsia" w:ascii="仿宋" w:hAnsi="仿宋" w:eastAsia="仿宋"/>
        </w:rPr>
        <w:t>政府：</w:t>
      </w:r>
    </w:p>
    <w:p>
      <w:pPr>
        <w:spacing w:after="0"/>
        <w:rPr>
          <w:rFonts w:hint="eastAsia" w:ascii="仿宋" w:hAnsi="仿宋" w:eastAsia="仿宋"/>
        </w:rPr>
        <w:sectPr>
          <w:pgSz w:w="11910" w:h="16840"/>
          <w:pgMar w:top="1540" w:right="1140" w:bottom="1380" w:left="1400" w:header="0" w:footer="1200" w:gutter="0"/>
        </w:sectPr>
      </w:pPr>
    </w:p>
    <w:p>
      <w:pPr>
        <w:pStyle w:val="10"/>
        <w:numPr>
          <w:ilvl w:val="0"/>
          <w:numId w:val="29"/>
        </w:numPr>
        <w:tabs>
          <w:tab w:val="left" w:pos="1052"/>
        </w:tabs>
        <w:spacing w:before="43" w:after="0" w:line="350" w:lineRule="auto"/>
        <w:ind w:left="171" w:right="429" w:firstLine="638"/>
        <w:jc w:val="both"/>
        <w:rPr>
          <w:rFonts w:hint="eastAsia" w:ascii="楷体" w:eastAsia="楷体"/>
          <w:sz w:val="32"/>
        </w:rPr>
      </w:pPr>
      <w:r>
        <w:rPr>
          <w:spacing w:val="-12"/>
          <w:sz w:val="32"/>
        </w:rPr>
        <w:t>开展老年健身、老年保健、老年疾病防治与康复等内容的</w:t>
      </w:r>
      <w:r>
        <w:rPr>
          <w:spacing w:val="4"/>
          <w:w w:val="95"/>
          <w:sz w:val="32"/>
        </w:rPr>
        <w:t xml:space="preserve">教育活动。积极宣传适宜老年人的中医养生保健方法。加强老 年人自救互救卫生应急技能训练。推广老年期常见疾病的防治 </w:t>
      </w:r>
      <w:r>
        <w:rPr>
          <w:spacing w:val="5"/>
          <w:w w:val="95"/>
          <w:sz w:val="32"/>
        </w:rPr>
        <w:t>适宜技术，开展预防老年人跌倒等干预和健康指导。</w:t>
      </w:r>
      <w:r>
        <w:rPr>
          <w:rFonts w:hint="eastAsia" w:ascii="楷体" w:eastAsia="楷体"/>
          <w:spacing w:val="5"/>
          <w:w w:val="95"/>
          <w:sz w:val="32"/>
        </w:rPr>
        <w:t>（</w:t>
      </w:r>
      <w:r>
        <w:rPr>
          <w:rFonts w:hint="eastAsia" w:ascii="楷体" w:eastAsia="楷体"/>
          <w:spacing w:val="-1"/>
          <w:w w:val="95"/>
          <w:sz w:val="32"/>
        </w:rPr>
        <w:t xml:space="preserve">卫生健 </w:t>
      </w:r>
      <w:r>
        <w:rPr>
          <w:rFonts w:hint="eastAsia" w:ascii="楷体" w:eastAsia="楷体"/>
          <w:spacing w:val="4"/>
          <w:w w:val="95"/>
          <w:sz w:val="32"/>
        </w:rPr>
        <w:t xml:space="preserve">康委牵头，民政部、文化和旅游部、体育总局、中医药局等按 </w:t>
      </w:r>
      <w:r>
        <w:rPr>
          <w:rFonts w:hint="eastAsia" w:ascii="楷体" w:eastAsia="楷体"/>
          <w:sz w:val="32"/>
        </w:rPr>
        <w:t>职责分工负责）</w:t>
      </w:r>
    </w:p>
    <w:p>
      <w:pPr>
        <w:pStyle w:val="10"/>
        <w:numPr>
          <w:ilvl w:val="0"/>
          <w:numId w:val="29"/>
        </w:numPr>
        <w:tabs>
          <w:tab w:val="left" w:pos="1052"/>
        </w:tabs>
        <w:spacing w:before="8" w:after="0" w:line="350" w:lineRule="auto"/>
        <w:ind w:left="171" w:right="429" w:firstLine="638"/>
        <w:jc w:val="both"/>
        <w:rPr>
          <w:rFonts w:hint="eastAsia" w:ascii="楷体" w:eastAsia="楷体"/>
          <w:sz w:val="32"/>
        </w:rPr>
      </w:pPr>
      <w:r>
        <w:rPr>
          <w:spacing w:val="-7"/>
          <w:sz w:val="32"/>
        </w:rPr>
        <w:t>实施老年人心理健康预防和干预计划，为贫困、空巢、失</w:t>
      </w:r>
      <w:r>
        <w:rPr>
          <w:spacing w:val="4"/>
          <w:w w:val="95"/>
          <w:sz w:val="32"/>
        </w:rPr>
        <w:t xml:space="preserve">能、失智、计划生育特殊家庭和高龄独居老年人提供日常关怀 和心理支持服务。加强对老年严重精神障碍患者的社区管理和 康复治疗，鼓励老年人积极参与社会活动，促进老年人心理健 </w:t>
      </w:r>
      <w:r>
        <w:rPr>
          <w:sz w:val="32"/>
        </w:rPr>
        <w:t>康。</w:t>
      </w:r>
      <w:r>
        <w:rPr>
          <w:rFonts w:hint="eastAsia" w:ascii="楷体" w:eastAsia="楷体"/>
          <w:sz w:val="32"/>
        </w:rPr>
        <w:t>（卫生健康委牵头，中医药局按职责负责）</w:t>
      </w:r>
    </w:p>
    <w:p>
      <w:pPr>
        <w:pStyle w:val="10"/>
        <w:numPr>
          <w:ilvl w:val="0"/>
          <w:numId w:val="29"/>
        </w:numPr>
        <w:tabs>
          <w:tab w:val="left" w:pos="1052"/>
        </w:tabs>
        <w:spacing w:before="7" w:after="0" w:line="350" w:lineRule="auto"/>
        <w:ind w:left="171" w:right="429" w:firstLine="638"/>
        <w:jc w:val="both"/>
        <w:rPr>
          <w:rFonts w:hint="eastAsia" w:ascii="楷体" w:eastAsia="楷体"/>
          <w:sz w:val="32"/>
        </w:rPr>
      </w:pPr>
      <w:r>
        <w:rPr>
          <w:spacing w:val="-9"/>
          <w:sz w:val="32"/>
        </w:rPr>
        <w:t>建立和完善老年健康服务体系。优化老年医疗卫生资源配</w:t>
      </w:r>
      <w:r>
        <w:rPr>
          <w:spacing w:val="4"/>
          <w:w w:val="95"/>
          <w:sz w:val="32"/>
        </w:rPr>
        <w:t>置，鼓励以城市二级医院转型、新建等多种方式，合理布局， 积极发展老年医院、康复医院、护理院等医疗机构。推动二级 以上综合医院开设老年医学科，增加老年病床位数量，提高老 年人医疗卫生服务的可及性。</w:t>
      </w:r>
      <w:r>
        <w:rPr>
          <w:rFonts w:hint="eastAsia" w:ascii="楷体" w:eastAsia="楷体"/>
          <w:spacing w:val="5"/>
          <w:w w:val="95"/>
          <w:sz w:val="32"/>
        </w:rPr>
        <w:t>（</w:t>
      </w:r>
      <w:r>
        <w:rPr>
          <w:rFonts w:hint="eastAsia" w:ascii="楷体" w:eastAsia="楷体"/>
          <w:spacing w:val="3"/>
          <w:w w:val="95"/>
          <w:sz w:val="32"/>
        </w:rPr>
        <w:t xml:space="preserve">发展改革委、卫生健康委按职 </w:t>
      </w:r>
      <w:r>
        <w:rPr>
          <w:rFonts w:hint="eastAsia" w:ascii="楷体" w:eastAsia="楷体"/>
          <w:sz w:val="32"/>
        </w:rPr>
        <w:t>责分工负责）</w:t>
      </w:r>
    </w:p>
    <w:p>
      <w:pPr>
        <w:pStyle w:val="10"/>
        <w:numPr>
          <w:ilvl w:val="0"/>
          <w:numId w:val="29"/>
        </w:numPr>
        <w:tabs>
          <w:tab w:val="left" w:pos="1052"/>
        </w:tabs>
        <w:spacing w:before="8" w:after="0" w:line="350" w:lineRule="auto"/>
        <w:ind w:left="171" w:right="314" w:firstLine="638"/>
        <w:jc w:val="left"/>
        <w:rPr>
          <w:rFonts w:hint="eastAsia" w:ascii="楷体" w:eastAsia="楷体"/>
          <w:sz w:val="32"/>
        </w:rPr>
      </w:pPr>
      <w:r>
        <w:rPr>
          <w:sz w:val="32"/>
        </w:rPr>
        <w:t xml:space="preserve">强化基层医疗卫生服务网络功能，发挥家庭医生（团队） </w:t>
      </w:r>
      <w:r>
        <w:rPr>
          <w:spacing w:val="4"/>
          <w:sz w:val="32"/>
        </w:rPr>
        <w:t>作用，为老年人提供综合、连续、协同、规范的基本医疗和公</w:t>
      </w:r>
      <w:r>
        <w:rPr>
          <w:spacing w:val="-11"/>
          <w:sz w:val="32"/>
        </w:rPr>
        <w:t xml:space="preserve">共卫生服务。为 </w:t>
      </w:r>
      <w:r>
        <w:rPr>
          <w:rFonts w:ascii="Times New Roman" w:eastAsia="Times New Roman"/>
          <w:sz w:val="32"/>
        </w:rPr>
        <w:t>65</w:t>
      </w:r>
      <w:r>
        <w:rPr>
          <w:rFonts w:ascii="Times New Roman" w:eastAsia="Times New Roman"/>
          <w:spacing w:val="-5"/>
          <w:sz w:val="32"/>
        </w:rPr>
        <w:t xml:space="preserve"> </w:t>
      </w:r>
      <w:r>
        <w:rPr>
          <w:spacing w:val="-2"/>
          <w:sz w:val="32"/>
        </w:rPr>
        <w:t>岁及以上老年人免费建立健康档案，每年免</w:t>
      </w:r>
      <w:r>
        <w:rPr>
          <w:spacing w:val="4"/>
          <w:sz w:val="32"/>
        </w:rPr>
        <w:t>费提供健康体检。为老年人提供家庭医生签约服务。研究制定</w:t>
      </w:r>
      <w:r>
        <w:rPr>
          <w:spacing w:val="5"/>
          <w:sz w:val="32"/>
        </w:rPr>
        <w:t>上门巡诊、家庭病床的服务标准和操作规范。</w:t>
      </w:r>
      <w:r>
        <w:rPr>
          <w:rFonts w:hint="eastAsia" w:ascii="楷体" w:eastAsia="楷体"/>
          <w:spacing w:val="5"/>
          <w:sz w:val="32"/>
        </w:rPr>
        <w:t>（</w:t>
      </w:r>
      <w:r>
        <w:rPr>
          <w:rFonts w:hint="eastAsia" w:ascii="楷体" w:eastAsia="楷体"/>
          <w:spacing w:val="4"/>
          <w:sz w:val="32"/>
        </w:rPr>
        <w:t>民政部、卫生健康委、医保局、中医药局按职责分工负责）</w:t>
      </w:r>
    </w:p>
    <w:p>
      <w:pPr>
        <w:spacing w:after="0" w:line="350" w:lineRule="auto"/>
        <w:jc w:val="left"/>
        <w:rPr>
          <w:rFonts w:hint="eastAsia" w:ascii="楷体" w:eastAsia="楷体"/>
          <w:sz w:val="32"/>
        </w:rPr>
        <w:sectPr>
          <w:footerReference r:id="rId11" w:type="default"/>
          <w:pgSz w:w="11910" w:h="16840"/>
          <w:pgMar w:top="1540" w:right="1140" w:bottom="1380" w:left="1400" w:header="0" w:footer="1200" w:gutter="0"/>
          <w:pgNumType w:start="80"/>
        </w:sectPr>
      </w:pPr>
    </w:p>
    <w:p>
      <w:pPr>
        <w:pStyle w:val="10"/>
        <w:numPr>
          <w:ilvl w:val="0"/>
          <w:numId w:val="29"/>
        </w:numPr>
        <w:tabs>
          <w:tab w:val="left" w:pos="1052"/>
        </w:tabs>
        <w:spacing w:before="43" w:after="0" w:line="350" w:lineRule="auto"/>
        <w:ind w:left="171" w:right="429" w:firstLine="638"/>
        <w:jc w:val="both"/>
        <w:rPr>
          <w:rFonts w:hint="eastAsia" w:ascii="楷体" w:eastAsia="楷体"/>
          <w:sz w:val="32"/>
        </w:rPr>
      </w:pPr>
      <w:r>
        <w:rPr>
          <w:spacing w:val="-5"/>
          <w:sz w:val="32"/>
        </w:rPr>
        <w:t>扩大中医药健康管理服务项目的覆盖广度和服务深度，根</w:t>
      </w:r>
      <w:r>
        <w:rPr>
          <w:spacing w:val="4"/>
          <w:w w:val="95"/>
          <w:sz w:val="32"/>
        </w:rPr>
        <w:t xml:space="preserve">据老年人不同体质和健康状态提供更多中医养生保健、疾病防 治等健康指导。推动中医医院与老年护理院、康复疗养机构等 开展合作，推动二级以上中医医院开设老年医学科，增加老年 </w:t>
      </w:r>
      <w:r>
        <w:rPr>
          <w:spacing w:val="5"/>
          <w:w w:val="95"/>
          <w:sz w:val="32"/>
        </w:rPr>
        <w:t>服务资源，提供老年健康服务。</w:t>
      </w:r>
      <w:r>
        <w:rPr>
          <w:rFonts w:hint="eastAsia" w:ascii="楷体" w:eastAsia="楷体"/>
          <w:spacing w:val="5"/>
          <w:w w:val="95"/>
          <w:sz w:val="32"/>
        </w:rPr>
        <w:t>（</w:t>
      </w:r>
      <w:r>
        <w:rPr>
          <w:rFonts w:hint="eastAsia" w:ascii="楷体" w:eastAsia="楷体"/>
          <w:spacing w:val="3"/>
          <w:w w:val="95"/>
          <w:sz w:val="32"/>
        </w:rPr>
        <w:t xml:space="preserve">中医药局牵头，卫生健康委 </w:t>
      </w:r>
      <w:r>
        <w:rPr>
          <w:rFonts w:hint="eastAsia" w:ascii="楷体" w:eastAsia="楷体"/>
          <w:sz w:val="32"/>
        </w:rPr>
        <w:t>按职责负责）</w:t>
      </w:r>
    </w:p>
    <w:p>
      <w:pPr>
        <w:pStyle w:val="10"/>
        <w:numPr>
          <w:ilvl w:val="0"/>
          <w:numId w:val="29"/>
        </w:numPr>
        <w:tabs>
          <w:tab w:val="left" w:pos="1052"/>
        </w:tabs>
        <w:spacing w:before="8" w:after="0" w:line="350" w:lineRule="auto"/>
        <w:ind w:left="171" w:right="314" w:firstLine="638"/>
        <w:jc w:val="left"/>
        <w:rPr>
          <w:rFonts w:hint="eastAsia" w:ascii="楷体" w:eastAsia="楷体"/>
          <w:sz w:val="32"/>
        </w:rPr>
      </w:pPr>
      <w:r>
        <w:rPr>
          <w:sz w:val="32"/>
        </w:rPr>
        <w:t xml:space="preserve">完善医养结合政策，推进医疗卫生与养老服务融合发展， </w:t>
      </w:r>
      <w:r>
        <w:rPr>
          <w:spacing w:val="4"/>
          <w:sz w:val="32"/>
        </w:rPr>
        <w:t>推动发展中医药特色医养结合服务。鼓励养老机构与周边的医疗卫生机构开展多种形式的合作，推动医疗卫生服务延伸至社</w:t>
      </w:r>
      <w:r>
        <w:rPr>
          <w:spacing w:val="-15"/>
          <w:sz w:val="32"/>
        </w:rPr>
        <w:t>区、家庭。支持社会力量开办非营利性医养结合服务机构。</w:t>
      </w:r>
      <w:r>
        <w:rPr>
          <w:rFonts w:hint="eastAsia" w:ascii="楷体" w:eastAsia="楷体"/>
          <w:sz w:val="32"/>
        </w:rPr>
        <w:t>（卫生健康委牵头，民政部、中医药局按职责分工负责）</w:t>
      </w:r>
    </w:p>
    <w:p>
      <w:pPr>
        <w:pStyle w:val="10"/>
        <w:numPr>
          <w:ilvl w:val="0"/>
          <w:numId w:val="29"/>
        </w:numPr>
        <w:tabs>
          <w:tab w:val="left" w:pos="1052"/>
        </w:tabs>
        <w:spacing w:before="7" w:after="0" w:line="350" w:lineRule="auto"/>
        <w:ind w:left="171" w:right="429" w:firstLine="638"/>
        <w:jc w:val="both"/>
        <w:rPr>
          <w:rFonts w:hint="eastAsia" w:ascii="楷体" w:eastAsia="楷体"/>
          <w:sz w:val="32"/>
        </w:rPr>
      </w:pPr>
      <w:r>
        <w:rPr>
          <w:spacing w:val="-8"/>
          <w:sz w:val="32"/>
        </w:rPr>
        <w:t>全面推进老年医学学科基础研究，提高我国老年医学的科</w:t>
      </w:r>
      <w:r>
        <w:rPr>
          <w:spacing w:val="4"/>
          <w:w w:val="95"/>
          <w:sz w:val="32"/>
        </w:rPr>
        <w:t xml:space="preserve">研水平。推行多学科协作诊疗，重视老年综合征和老年综合评 估。大力推进老年医学研究中心及创新基地建设，促进医研企 共同开展创新性和集成性研究，打造高水平的技术创新与成果 </w:t>
      </w:r>
      <w:r>
        <w:rPr>
          <w:sz w:val="32"/>
        </w:rPr>
        <w:t>转化基地。</w:t>
      </w:r>
      <w:r>
        <w:rPr>
          <w:rFonts w:hint="eastAsia" w:ascii="楷体" w:eastAsia="楷体"/>
          <w:sz w:val="32"/>
        </w:rPr>
        <w:t>（科技部、卫生健康委按职责分工负责）</w:t>
      </w:r>
    </w:p>
    <w:p>
      <w:pPr>
        <w:pStyle w:val="10"/>
        <w:numPr>
          <w:ilvl w:val="0"/>
          <w:numId w:val="29"/>
        </w:numPr>
        <w:tabs>
          <w:tab w:val="left" w:pos="1052"/>
        </w:tabs>
        <w:spacing w:before="7" w:after="0" w:line="350" w:lineRule="auto"/>
        <w:ind w:left="171" w:right="314" w:firstLine="638"/>
        <w:jc w:val="left"/>
        <w:rPr>
          <w:rFonts w:hint="eastAsia" w:ascii="楷体" w:eastAsia="楷体"/>
          <w:sz w:val="32"/>
        </w:rPr>
      </w:pPr>
      <w:r>
        <w:rPr>
          <w:sz w:val="32"/>
        </w:rPr>
        <w:t xml:space="preserve">支持高等院校和职业院校开设老年医学相关专业或课程， </w:t>
      </w:r>
      <w:r>
        <w:rPr>
          <w:spacing w:val="4"/>
          <w:sz w:val="32"/>
        </w:rPr>
        <w:t>以老年医学、康复、护理、营养、心理和社会工作等为重点， 加快培养适应现代老年医学理念的复合型多层次人才。将老年医学、康复、护理人才作为急需紧缺人才纳入卫生人员培训规</w:t>
      </w:r>
      <w:r>
        <w:rPr>
          <w:spacing w:val="5"/>
          <w:sz w:val="32"/>
        </w:rPr>
        <w:t>划，加强专业技能培训。</w:t>
      </w:r>
      <w:r>
        <w:rPr>
          <w:rFonts w:hint="eastAsia" w:ascii="楷体" w:eastAsia="楷体"/>
          <w:spacing w:val="5"/>
          <w:sz w:val="32"/>
        </w:rPr>
        <w:t>（</w:t>
      </w:r>
      <w:r>
        <w:rPr>
          <w:rFonts w:hint="eastAsia" w:ascii="楷体" w:eastAsia="楷体"/>
          <w:spacing w:val="4"/>
          <w:sz w:val="32"/>
        </w:rPr>
        <w:t>教育部、卫生健康委按职责分工负责）</w:t>
      </w:r>
    </w:p>
    <w:p>
      <w:pPr>
        <w:spacing w:after="0" w:line="350" w:lineRule="auto"/>
        <w:jc w:val="left"/>
        <w:rPr>
          <w:rFonts w:hint="eastAsia" w:ascii="楷体" w:eastAsia="楷体"/>
          <w:sz w:val="32"/>
        </w:rPr>
        <w:sectPr>
          <w:pgSz w:w="11910" w:h="16840"/>
          <w:pgMar w:top="1540" w:right="1140" w:bottom="1380" w:left="1400" w:header="0" w:footer="1200" w:gutter="0"/>
        </w:sectPr>
      </w:pPr>
    </w:p>
    <w:p>
      <w:pPr>
        <w:pStyle w:val="10"/>
        <w:numPr>
          <w:ilvl w:val="0"/>
          <w:numId w:val="29"/>
        </w:numPr>
        <w:tabs>
          <w:tab w:val="left" w:pos="1052"/>
        </w:tabs>
        <w:spacing w:before="43" w:after="0" w:line="350" w:lineRule="auto"/>
        <w:ind w:left="171" w:right="427" w:firstLine="638"/>
        <w:jc w:val="both"/>
        <w:rPr>
          <w:rFonts w:hint="eastAsia" w:ascii="楷体" w:eastAsia="楷体"/>
          <w:sz w:val="32"/>
        </w:rPr>
      </w:pPr>
      <w:r>
        <w:rPr>
          <w:spacing w:val="-6"/>
          <w:sz w:val="32"/>
        </w:rPr>
        <w:t>加快提出推开长期护理保险制度试点的指导意见。抓紧研</w:t>
      </w:r>
      <w:r>
        <w:rPr>
          <w:spacing w:val="4"/>
          <w:w w:val="95"/>
          <w:sz w:val="32"/>
        </w:rPr>
        <w:t xml:space="preserve">究完善照护服务标准体系，建立健全长期照护等级认定标准、 </w:t>
      </w:r>
      <w:r>
        <w:rPr>
          <w:spacing w:val="-13"/>
          <w:sz w:val="32"/>
        </w:rPr>
        <w:t>项目内涵、服务标准以及质量评价等行业规范和体制机制。</w:t>
      </w:r>
      <w:r>
        <w:rPr>
          <w:rFonts w:hint="eastAsia" w:ascii="楷体" w:eastAsia="楷体"/>
          <w:sz w:val="32"/>
        </w:rPr>
        <w:t>（医保局牵头，卫生健康委按职责负责）</w:t>
      </w:r>
    </w:p>
    <w:p>
      <w:pPr>
        <w:pStyle w:val="10"/>
        <w:numPr>
          <w:ilvl w:val="0"/>
          <w:numId w:val="29"/>
        </w:numPr>
        <w:tabs>
          <w:tab w:val="left" w:pos="1213"/>
        </w:tabs>
        <w:spacing w:before="5" w:after="0" w:line="350" w:lineRule="auto"/>
        <w:ind w:left="171" w:right="429" w:firstLine="638"/>
        <w:jc w:val="both"/>
        <w:rPr>
          <w:rFonts w:hint="eastAsia" w:ascii="楷体" w:eastAsia="楷体"/>
          <w:sz w:val="32"/>
        </w:rPr>
      </w:pPr>
      <w:r>
        <w:rPr>
          <w:sz w:val="32"/>
        </w:rPr>
        <w:t>逐步建立完善支持家庭养老的政策体系，支持成年子女</w:t>
      </w:r>
      <w:r>
        <w:rPr>
          <w:spacing w:val="4"/>
          <w:w w:val="95"/>
          <w:sz w:val="32"/>
        </w:rPr>
        <w:t xml:space="preserve">与老年父母共同生活。从老年人实际需求出发，强化家庭养老 功能，从社区层面整合资源，加强社区日间照料中心等居家养 老服务机构、场所和相关服务队伍建设，鼓励为老年人提供上 门服务，为居家养老提供依托。弘扬敬老、养老、助老的社会 </w:t>
      </w:r>
      <w:r>
        <w:rPr>
          <w:spacing w:val="3"/>
          <w:w w:val="95"/>
          <w:sz w:val="32"/>
        </w:rPr>
        <w:t>风尚。</w:t>
      </w:r>
      <w:r>
        <w:rPr>
          <w:rFonts w:hint="eastAsia" w:ascii="楷体" w:eastAsia="楷体"/>
          <w:spacing w:val="5"/>
          <w:w w:val="95"/>
          <w:sz w:val="32"/>
        </w:rPr>
        <w:t>（</w:t>
      </w:r>
      <w:r>
        <w:rPr>
          <w:rFonts w:hint="eastAsia" w:ascii="楷体" w:eastAsia="楷体"/>
          <w:spacing w:val="4"/>
          <w:w w:val="95"/>
          <w:sz w:val="32"/>
        </w:rPr>
        <w:t xml:space="preserve">民政部牵头，文化和旅游部、卫生健康委按职责分工 </w:t>
      </w:r>
      <w:r>
        <w:rPr>
          <w:rFonts w:hint="eastAsia" w:ascii="楷体" w:eastAsia="楷体"/>
          <w:sz w:val="32"/>
        </w:rPr>
        <w:t>负责）</w:t>
      </w:r>
    </w:p>
    <w:p>
      <w:pPr>
        <w:pStyle w:val="10"/>
        <w:numPr>
          <w:ilvl w:val="0"/>
          <w:numId w:val="29"/>
        </w:numPr>
        <w:tabs>
          <w:tab w:val="left" w:pos="1213"/>
        </w:tabs>
        <w:spacing w:before="10" w:after="0" w:line="350" w:lineRule="auto"/>
        <w:ind w:left="171" w:right="429" w:firstLine="638"/>
        <w:jc w:val="both"/>
        <w:rPr>
          <w:rFonts w:hint="eastAsia" w:ascii="楷体" w:eastAsia="楷体"/>
          <w:sz w:val="32"/>
        </w:rPr>
      </w:pPr>
      <w:r>
        <w:rPr>
          <w:sz w:val="32"/>
        </w:rPr>
        <w:t>优化老年人住、行、医、养等环境，营造安全、便利、</w:t>
      </w:r>
      <w:r>
        <w:rPr>
          <w:spacing w:val="4"/>
          <w:w w:val="95"/>
          <w:sz w:val="32"/>
        </w:rPr>
        <w:t>舒适、无障碍的老年宜居环境。推进老年人社区和居家适老化 改造，支持适老住宅建设。</w:t>
      </w:r>
      <w:r>
        <w:rPr>
          <w:rFonts w:hint="eastAsia" w:ascii="楷体" w:eastAsia="楷体"/>
          <w:spacing w:val="5"/>
          <w:w w:val="95"/>
          <w:sz w:val="32"/>
        </w:rPr>
        <w:t>（</w:t>
      </w:r>
      <w:r>
        <w:rPr>
          <w:rFonts w:hint="eastAsia" w:ascii="楷体" w:eastAsia="楷体"/>
          <w:spacing w:val="3"/>
          <w:w w:val="95"/>
          <w:sz w:val="32"/>
        </w:rPr>
        <w:t xml:space="preserve">民政部、住房城乡建设部、交通 </w:t>
      </w:r>
      <w:r>
        <w:rPr>
          <w:rFonts w:hint="eastAsia" w:ascii="楷体" w:eastAsia="楷体"/>
          <w:sz w:val="32"/>
        </w:rPr>
        <w:t>运输部、卫生健康委按职责分工负责）</w:t>
      </w:r>
    </w:p>
    <w:p>
      <w:pPr>
        <w:pStyle w:val="10"/>
        <w:numPr>
          <w:ilvl w:val="0"/>
          <w:numId w:val="29"/>
        </w:numPr>
        <w:tabs>
          <w:tab w:val="left" w:pos="1213"/>
        </w:tabs>
        <w:spacing w:before="6" w:after="0" w:line="350" w:lineRule="auto"/>
        <w:ind w:left="171" w:right="266" w:firstLine="638"/>
        <w:jc w:val="left"/>
        <w:rPr>
          <w:rFonts w:hint="eastAsia" w:ascii="楷体" w:hAnsi="楷体" w:eastAsia="楷体"/>
          <w:sz w:val="32"/>
        </w:rPr>
      </w:pPr>
      <w:r>
        <w:rPr>
          <w:sz w:val="32"/>
        </w:rPr>
        <w:t>鼓励专业技术领域人才延长工作年限，各地制定老年人</w:t>
      </w:r>
      <w:r>
        <w:rPr>
          <w:spacing w:val="-3"/>
          <w:sz w:val="32"/>
        </w:rPr>
        <w:t>力资源开发利用专项规划，鼓励引导老年人为社会做更多贡献。</w:t>
      </w:r>
      <w:r>
        <w:rPr>
          <w:spacing w:val="4"/>
          <w:sz w:val="32"/>
        </w:rPr>
        <w:t>发挥老年人优良品行传帮带作用，支持老党员、老专家、老军人、老劳模、老干部开展关心教育下一代活动。鼓励老年人参加志愿服务，繁荣老年文化，做到</w:t>
      </w:r>
      <w:r>
        <w:rPr>
          <w:rFonts w:ascii="Times New Roman" w:hAnsi="Times New Roman" w:eastAsia="Times New Roman"/>
          <w:spacing w:val="4"/>
          <w:sz w:val="32"/>
        </w:rPr>
        <w:t>“</w:t>
      </w:r>
      <w:r>
        <w:rPr>
          <w:spacing w:val="4"/>
          <w:sz w:val="32"/>
        </w:rPr>
        <w:t>老有所为</w:t>
      </w:r>
      <w:r>
        <w:rPr>
          <w:rFonts w:ascii="Times New Roman" w:hAnsi="Times New Roman" w:eastAsia="Times New Roman"/>
          <w:spacing w:val="4"/>
          <w:sz w:val="32"/>
        </w:rPr>
        <w:t>”</w:t>
      </w:r>
      <w:r>
        <w:rPr>
          <w:spacing w:val="4"/>
          <w:sz w:val="32"/>
        </w:rPr>
        <w:t>。</w:t>
      </w:r>
      <w:r>
        <w:rPr>
          <w:rFonts w:hint="eastAsia" w:ascii="楷体" w:hAnsi="楷体" w:eastAsia="楷体"/>
          <w:spacing w:val="4"/>
          <w:sz w:val="32"/>
        </w:rPr>
        <w:t>（中央组织部、民政部、人力资源社会保障部、退役军人部按职责分工负责）</w:t>
      </w:r>
    </w:p>
    <w:p>
      <w:pPr>
        <w:pStyle w:val="2"/>
        <w:spacing w:before="8"/>
      </w:pPr>
      <w:bookmarkStart w:id="62" w:name="_TOC_250004"/>
      <w:bookmarkEnd w:id="62"/>
      <w:r>
        <w:t>（十一）心脑血管疾病防治行动。</w:t>
      </w:r>
    </w:p>
    <w:p>
      <w:pPr>
        <w:spacing w:after="0"/>
        <w:sectPr>
          <w:pgSz w:w="11910" w:h="16840"/>
          <w:pgMar w:top="1540" w:right="1140" w:bottom="1380" w:left="1400" w:header="0" w:footer="1200" w:gutter="0"/>
        </w:sectPr>
      </w:pPr>
    </w:p>
    <w:p>
      <w:pPr>
        <w:pStyle w:val="3"/>
        <w:spacing w:line="350" w:lineRule="auto"/>
        <w:jc w:val="both"/>
      </w:pPr>
      <w:r>
        <w:rPr>
          <w:spacing w:val="4"/>
          <w:w w:val="95"/>
        </w:rPr>
        <w:t xml:space="preserve">心脑血管疾病具有高患病率、高致残率、高复发率和高死 亡率的特点，带来了沉重的社会及经济负担。目前全国现有高 </w:t>
      </w:r>
      <w:r>
        <w:rPr>
          <w:spacing w:val="-17"/>
        </w:rPr>
        <w:t xml:space="preserve">血压患者 </w:t>
      </w:r>
      <w:r>
        <w:rPr>
          <w:rFonts w:ascii="Times New Roman" w:eastAsia="Times New Roman"/>
        </w:rPr>
        <w:t>2.7</w:t>
      </w:r>
      <w:r>
        <w:rPr>
          <w:rFonts w:ascii="Times New Roman" w:eastAsia="Times New Roman"/>
          <w:spacing w:val="-3"/>
        </w:rPr>
        <w:t xml:space="preserve"> </w:t>
      </w:r>
      <w:r>
        <w:rPr>
          <w:spacing w:val="-17"/>
        </w:rPr>
        <w:t xml:space="preserve">亿、脑卒中患者 </w:t>
      </w:r>
      <w:r>
        <w:rPr>
          <w:rFonts w:ascii="Times New Roman" w:eastAsia="Times New Roman"/>
        </w:rPr>
        <w:t>1300</w:t>
      </w:r>
      <w:r>
        <w:rPr>
          <w:rFonts w:ascii="Times New Roman" w:eastAsia="Times New Roman"/>
          <w:spacing w:val="-3"/>
        </w:rPr>
        <w:t xml:space="preserve"> </w:t>
      </w:r>
      <w:r>
        <w:rPr>
          <w:spacing w:val="-17"/>
        </w:rPr>
        <w:t xml:space="preserve">万、冠心病患者 </w:t>
      </w:r>
      <w:r>
        <w:rPr>
          <w:rFonts w:ascii="Times New Roman" w:eastAsia="Times New Roman"/>
        </w:rPr>
        <w:t>1100</w:t>
      </w:r>
      <w:r>
        <w:rPr>
          <w:rFonts w:ascii="Times New Roman" w:eastAsia="Times New Roman"/>
          <w:spacing w:val="-3"/>
        </w:rPr>
        <w:t xml:space="preserve"> </w:t>
      </w:r>
      <w:r>
        <w:rPr>
          <w:spacing w:val="-14"/>
        </w:rPr>
        <w:t>万。高</w:t>
      </w:r>
      <w:r>
        <w:rPr>
          <w:spacing w:val="4"/>
          <w:w w:val="95"/>
        </w:rPr>
        <w:t xml:space="preserve">血压、血脂异常、糖尿病，以及肥胖、吸烟、缺乏体力活动、 不健康饮食习惯等是心脑血管疾病主要的且可以改变的危险因 </w:t>
      </w:r>
      <w:r>
        <w:rPr>
          <w:spacing w:val="-17"/>
        </w:rPr>
        <w:t xml:space="preserve">素。中国 </w:t>
      </w:r>
      <w:r>
        <w:rPr>
          <w:rFonts w:ascii="Times New Roman" w:eastAsia="Times New Roman"/>
        </w:rPr>
        <w:t>18</w:t>
      </w:r>
      <w:r>
        <w:rPr>
          <w:rFonts w:ascii="Times New Roman" w:eastAsia="Times New Roman"/>
          <w:spacing w:val="1"/>
        </w:rPr>
        <w:t xml:space="preserve"> </w:t>
      </w:r>
      <w:r>
        <w:rPr>
          <w:spacing w:val="-6"/>
        </w:rPr>
        <w:t xml:space="preserve">岁及以上居民高血压患病率为 </w:t>
      </w:r>
      <w:r>
        <w:rPr>
          <w:rFonts w:ascii="Times New Roman" w:eastAsia="Times New Roman"/>
        </w:rPr>
        <w:t>25.2%</w:t>
      </w:r>
      <w:r>
        <w:t>，血脂异常达</w:t>
      </w:r>
      <w:r>
        <w:rPr>
          <w:spacing w:val="-45"/>
        </w:rPr>
        <w:t xml:space="preserve">到 </w:t>
      </w:r>
      <w:r>
        <w:rPr>
          <w:rFonts w:ascii="Times New Roman" w:eastAsia="Times New Roman"/>
          <w:spacing w:val="-12"/>
        </w:rPr>
        <w:t>40.4%</w:t>
      </w:r>
      <w:r>
        <w:rPr>
          <w:spacing w:val="-10"/>
        </w:rPr>
        <w:t>，均呈现上升趋势。对这些危险因素采取干预措施不仅</w:t>
      </w:r>
      <w:r>
        <w:rPr>
          <w:spacing w:val="4"/>
          <w:w w:val="95"/>
        </w:rPr>
        <w:t xml:space="preserve">能够预防或推迟心脑血管疾病的发生，而且能够和药物治疗协 </w:t>
      </w:r>
      <w:r>
        <w:t>同作用预防心脑血管疾病的复发。</w:t>
      </w:r>
    </w:p>
    <w:p>
      <w:pPr>
        <w:pStyle w:val="3"/>
        <w:spacing w:before="12"/>
        <w:ind w:left="810" w:right="0" w:firstLine="0"/>
        <w:rPr>
          <w:rFonts w:hint="eastAsia" w:ascii="黑体" w:eastAsia="黑体"/>
        </w:rPr>
      </w:pPr>
      <w:bookmarkStart w:id="63" w:name="行动目标："/>
      <w:bookmarkEnd w:id="63"/>
      <w:r>
        <w:rPr>
          <w:rFonts w:hint="eastAsia" w:ascii="黑体" w:eastAsia="黑体"/>
        </w:rPr>
        <w:t>行动目标：</w:t>
      </w:r>
    </w:p>
    <w:p>
      <w:pPr>
        <w:pStyle w:val="3"/>
        <w:spacing w:before="190" w:line="350" w:lineRule="auto"/>
        <w:ind w:right="427"/>
        <w:jc w:val="both"/>
      </w:pPr>
      <w:bookmarkStart w:id="64" w:name="到2022年和2030年，心脑血管疾病死亡率分别下降到209.7/10万及以下和"/>
      <w:bookmarkEnd w:id="64"/>
      <w:r>
        <w:rPr>
          <w:spacing w:val="-32"/>
        </w:rPr>
        <w:t xml:space="preserve">到 </w:t>
      </w:r>
      <w:r>
        <w:rPr>
          <w:rFonts w:ascii="Times New Roman" w:eastAsia="Times New Roman"/>
        </w:rPr>
        <w:t xml:space="preserve">2022 </w:t>
      </w:r>
      <w:r>
        <w:rPr>
          <w:spacing w:val="-13"/>
        </w:rPr>
        <w:t xml:space="preserve">年和 </w:t>
      </w:r>
      <w:r>
        <w:rPr>
          <w:rFonts w:ascii="Times New Roman" w:eastAsia="Times New Roman"/>
        </w:rPr>
        <w:t xml:space="preserve">2030 </w:t>
      </w:r>
      <w:r>
        <w:rPr>
          <w:spacing w:val="19"/>
        </w:rPr>
        <w:t>年，心脑血管疾病死亡率分别下降到</w:t>
      </w:r>
      <w:r>
        <w:rPr>
          <w:rFonts w:ascii="Times New Roman" w:eastAsia="Times New Roman"/>
          <w:spacing w:val="19"/>
        </w:rPr>
        <w:t xml:space="preserve">209.7/10 </w:t>
      </w:r>
      <w:r>
        <w:rPr>
          <w:spacing w:val="-10"/>
        </w:rPr>
        <w:t xml:space="preserve">万及以下和 </w:t>
      </w:r>
      <w:r>
        <w:rPr>
          <w:rFonts w:ascii="Times New Roman" w:eastAsia="Times New Roman"/>
        </w:rPr>
        <w:t xml:space="preserve">190.7/10 </w:t>
      </w:r>
      <w:r>
        <w:rPr>
          <w:spacing w:val="4"/>
        </w:rPr>
        <w:t>万及以下；</w:t>
      </w:r>
      <w:r>
        <w:rPr>
          <w:rFonts w:ascii="Times New Roman" w:eastAsia="Times New Roman"/>
          <w:spacing w:val="2"/>
        </w:rPr>
        <w:t xml:space="preserve">30 </w:t>
      </w:r>
      <w:r>
        <w:rPr>
          <w:spacing w:val="4"/>
        </w:rPr>
        <w:t>岁及以上居民高血</w:t>
      </w:r>
      <w:r>
        <w:rPr>
          <w:spacing w:val="-9"/>
        </w:rPr>
        <w:t xml:space="preserve">压知晓率分别不低于 </w:t>
      </w:r>
      <w:r>
        <w:rPr>
          <w:rFonts w:ascii="Times New Roman" w:eastAsia="Times New Roman"/>
        </w:rPr>
        <w:t>55%</w:t>
      </w:r>
      <w:r>
        <w:rPr>
          <w:spacing w:val="-41"/>
        </w:rPr>
        <w:t xml:space="preserve">和 </w:t>
      </w:r>
      <w:r>
        <w:rPr>
          <w:rFonts w:ascii="Times New Roman" w:eastAsia="Times New Roman"/>
          <w:spacing w:val="2"/>
        </w:rPr>
        <w:t>65%</w:t>
      </w:r>
      <w:r>
        <w:t>；高血压患者规范管理率分别</w:t>
      </w:r>
      <w:r>
        <w:rPr>
          <w:spacing w:val="-19"/>
        </w:rPr>
        <w:t xml:space="preserve">不低于 </w:t>
      </w:r>
      <w:r>
        <w:rPr>
          <w:rFonts w:ascii="Times New Roman" w:eastAsia="Times New Roman"/>
        </w:rPr>
        <w:t>60%</w:t>
      </w:r>
      <w:r>
        <w:rPr>
          <w:spacing w:val="-39"/>
        </w:rPr>
        <w:t xml:space="preserve">和 </w:t>
      </w:r>
      <w:r>
        <w:rPr>
          <w:rFonts w:ascii="Times New Roman" w:eastAsia="Times New Roman"/>
          <w:spacing w:val="2"/>
        </w:rPr>
        <w:t>70%</w:t>
      </w:r>
      <w:r>
        <w:t>；高血压治疗率、控制率持续提高；所有二级及以上医院卒中中心均开展静脉溶栓技术；</w:t>
      </w:r>
      <w:r>
        <w:rPr>
          <w:rFonts w:ascii="Times New Roman" w:eastAsia="Times New Roman"/>
        </w:rPr>
        <w:t xml:space="preserve">35 </w:t>
      </w:r>
      <w:r>
        <w:t>岁及以上居民</w:t>
      </w:r>
      <w:r>
        <w:rPr>
          <w:spacing w:val="-1"/>
        </w:rPr>
        <w:t xml:space="preserve">年度血脂检测率不低于 </w:t>
      </w:r>
      <w:r>
        <w:rPr>
          <w:rFonts w:ascii="Times New Roman" w:eastAsia="Times New Roman"/>
        </w:rPr>
        <w:t>27%</w:t>
      </w:r>
      <w:r>
        <w:rPr>
          <w:spacing w:val="-43"/>
        </w:rPr>
        <w:t xml:space="preserve">和 </w:t>
      </w:r>
      <w:r>
        <w:rPr>
          <w:rFonts w:ascii="Times New Roman" w:eastAsia="Times New Roman"/>
        </w:rPr>
        <w:t>35%</w:t>
      </w:r>
      <w:r>
        <w:rPr>
          <w:spacing w:val="-1"/>
        </w:rPr>
        <w:t>；乡镇卫生院、社区卫生服</w:t>
      </w:r>
      <w:r>
        <w:rPr>
          <w:spacing w:val="-15"/>
        </w:rPr>
        <w:t xml:space="preserve">务中心提供 </w:t>
      </w:r>
      <w:r>
        <w:rPr>
          <w:rFonts w:ascii="Times New Roman" w:eastAsia="Times New Roman"/>
        </w:rPr>
        <w:t xml:space="preserve">6 </w:t>
      </w:r>
      <w:r>
        <w:rPr>
          <w:spacing w:val="-6"/>
        </w:rPr>
        <w:t xml:space="preserve">类以上中医非药物疗法的比例达到 </w:t>
      </w:r>
      <w:r>
        <w:rPr>
          <w:rFonts w:ascii="Times New Roman" w:eastAsia="Times New Roman"/>
          <w:spacing w:val="-13"/>
        </w:rPr>
        <w:t>100%</w:t>
      </w:r>
      <w:r>
        <w:rPr>
          <w:spacing w:val="-4"/>
        </w:rPr>
        <w:t>，村卫生</w:t>
      </w:r>
      <w:r>
        <w:rPr>
          <w:spacing w:val="-19"/>
        </w:rPr>
        <w:t xml:space="preserve">室提供 </w:t>
      </w:r>
      <w:r>
        <w:rPr>
          <w:rFonts w:ascii="Times New Roman" w:eastAsia="Times New Roman"/>
        </w:rPr>
        <w:t xml:space="preserve">4 </w:t>
      </w:r>
      <w:r>
        <w:rPr>
          <w:spacing w:val="-5"/>
        </w:rPr>
        <w:t xml:space="preserve">类以上中医非药物疗法的比例分别达到 </w:t>
      </w:r>
      <w:r>
        <w:rPr>
          <w:rFonts w:ascii="Times New Roman" w:eastAsia="Times New Roman"/>
        </w:rPr>
        <w:t>70%</w:t>
      </w:r>
      <w:r>
        <w:rPr>
          <w:spacing w:val="-40"/>
        </w:rPr>
        <w:t xml:space="preserve">和 </w:t>
      </w:r>
      <w:r>
        <w:rPr>
          <w:rFonts w:ascii="Times New Roman" w:eastAsia="Times New Roman"/>
        </w:rPr>
        <w:t>80%</w:t>
      </w:r>
      <w:r>
        <w:t xml:space="preserve">； </w:t>
      </w:r>
      <w:r>
        <w:rPr>
          <w:spacing w:val="4"/>
          <w:w w:val="95"/>
        </w:rPr>
        <w:t xml:space="preserve">鼓励开展群众性应急救护培训，取得培训证书的人员比例分别 </w:t>
      </w:r>
      <w:r>
        <w:rPr>
          <w:spacing w:val="-21"/>
        </w:rPr>
        <w:t xml:space="preserve">提高到 </w:t>
      </w:r>
      <w:r>
        <w:rPr>
          <w:rFonts w:ascii="Times New Roman" w:eastAsia="Times New Roman"/>
        </w:rPr>
        <w:t>1%</w:t>
      </w:r>
      <w:r>
        <w:rPr>
          <w:spacing w:val="-16"/>
        </w:rPr>
        <w:t xml:space="preserve">及以上和 </w:t>
      </w:r>
      <w:r>
        <w:rPr>
          <w:rFonts w:ascii="Times New Roman" w:eastAsia="Times New Roman"/>
        </w:rPr>
        <w:t>3%</w:t>
      </w:r>
      <w:r>
        <w:t>及以上。</w:t>
      </w:r>
    </w:p>
    <w:p>
      <w:pPr>
        <w:pStyle w:val="3"/>
        <w:spacing w:before="14" w:line="350" w:lineRule="auto"/>
        <w:ind w:right="428"/>
        <w:jc w:val="both"/>
      </w:pPr>
      <w:bookmarkStart w:id="65" w:name="提倡居民定期进行健康体检；18岁及以上成人定期自我监测血压，血压正常高值人群和其"/>
      <w:bookmarkEnd w:id="65"/>
      <w:r>
        <w:t>提倡居民定期进行健康体检；</w:t>
      </w:r>
      <w:r>
        <w:rPr>
          <w:rFonts w:ascii="Times New Roman" w:eastAsia="Times New Roman"/>
        </w:rPr>
        <w:t xml:space="preserve">18 </w:t>
      </w:r>
      <w:r>
        <w:t>岁及以上成人定期自我监</w:t>
      </w:r>
      <w:r>
        <w:rPr>
          <w:w w:val="95"/>
        </w:rPr>
        <w:t>测血压，血压正常高值人群和其他高危人群经常测量血压；</w:t>
      </w:r>
      <w:r>
        <w:rPr>
          <w:rFonts w:ascii="Times New Roman" w:eastAsia="Times New Roman"/>
          <w:w w:val="95"/>
        </w:rPr>
        <w:t xml:space="preserve">40  </w:t>
      </w:r>
      <w:r>
        <w:t xml:space="preserve">岁以下血脂正常人群每 </w:t>
      </w:r>
      <w:r>
        <w:rPr>
          <w:rFonts w:ascii="Times New Roman" w:eastAsia="Times New Roman"/>
        </w:rPr>
        <w:t>2</w:t>
      </w:r>
      <w:r>
        <w:t>～</w:t>
      </w:r>
      <w:r>
        <w:rPr>
          <w:rFonts w:ascii="Times New Roman" w:eastAsia="Times New Roman"/>
        </w:rPr>
        <w:t xml:space="preserve">5 </w:t>
      </w:r>
      <w:r>
        <w:t xml:space="preserve">年检测 </w:t>
      </w:r>
      <w:r>
        <w:rPr>
          <w:rFonts w:ascii="Times New Roman" w:eastAsia="Times New Roman"/>
        </w:rPr>
        <w:t xml:space="preserve">1 </w:t>
      </w:r>
      <w:r>
        <w:t>次血脂，</w:t>
      </w:r>
      <w:r>
        <w:rPr>
          <w:rFonts w:ascii="Times New Roman" w:eastAsia="Times New Roman"/>
        </w:rPr>
        <w:t xml:space="preserve">40 </w:t>
      </w:r>
      <w:r>
        <w:t>岁及以上人群</w:t>
      </w:r>
    </w:p>
    <w:p>
      <w:pPr>
        <w:spacing w:after="0" w:line="350" w:lineRule="auto"/>
        <w:jc w:val="both"/>
        <w:sectPr>
          <w:pgSz w:w="11910" w:h="16840"/>
          <w:pgMar w:top="1540" w:right="1140" w:bottom="1380" w:left="1400" w:header="0" w:footer="1200" w:gutter="0"/>
        </w:sectPr>
      </w:pPr>
    </w:p>
    <w:p>
      <w:pPr>
        <w:pStyle w:val="3"/>
        <w:ind w:right="0" w:firstLine="0"/>
        <w:rPr>
          <w:rFonts w:ascii="Times New Roman" w:eastAsia="Times New Roman"/>
        </w:rPr>
      </w:pPr>
      <w:r>
        <w:t xml:space="preserve">至少每年检测 </w:t>
      </w:r>
      <w:r>
        <w:rPr>
          <w:rFonts w:ascii="Times New Roman" w:eastAsia="Times New Roman"/>
        </w:rPr>
        <w:t xml:space="preserve">1 </w:t>
      </w:r>
      <w:r>
        <w:t xml:space="preserve">次血脂，心脑血管疾病高危人群每 </w:t>
      </w:r>
      <w:r>
        <w:rPr>
          <w:rFonts w:ascii="Times New Roman" w:eastAsia="Times New Roman"/>
        </w:rPr>
        <w:t xml:space="preserve">6 </w:t>
      </w:r>
      <w:r>
        <w:t xml:space="preserve">个月检测 </w:t>
      </w:r>
      <w:r>
        <w:rPr>
          <w:rFonts w:ascii="Times New Roman" w:eastAsia="Times New Roman"/>
        </w:rPr>
        <w:t>1</w:t>
      </w:r>
    </w:p>
    <w:p>
      <w:pPr>
        <w:pStyle w:val="3"/>
        <w:spacing w:before="190"/>
        <w:ind w:right="0" w:firstLine="0"/>
      </w:pPr>
      <w:r>
        <w:t>次血脂。</w:t>
      </w:r>
    </w:p>
    <w:p>
      <w:pPr>
        <w:pStyle w:val="2"/>
        <w:spacing w:before="190"/>
        <w:rPr>
          <w:rFonts w:hint="eastAsia" w:ascii="仿宋" w:hAnsi="仿宋" w:eastAsia="仿宋"/>
        </w:rPr>
      </w:pPr>
      <w:bookmarkStart w:id="66" w:name="——个人："/>
      <w:bookmarkEnd w:id="66"/>
      <w:r>
        <w:rPr>
          <w:rFonts w:ascii="Times New Roman" w:hAnsi="Times New Roman" w:eastAsia="Times New Roman"/>
        </w:rPr>
        <w:t>——</w:t>
      </w:r>
      <w:r>
        <w:rPr>
          <w:rFonts w:hint="eastAsia" w:ascii="仿宋" w:hAnsi="仿宋" w:eastAsia="仿宋"/>
        </w:rPr>
        <w:t>个人：</w:t>
      </w:r>
    </w:p>
    <w:p>
      <w:pPr>
        <w:pStyle w:val="10"/>
        <w:numPr>
          <w:ilvl w:val="0"/>
          <w:numId w:val="30"/>
        </w:numPr>
        <w:tabs>
          <w:tab w:val="left" w:pos="1056"/>
        </w:tabs>
        <w:spacing w:before="190" w:after="0" w:line="350" w:lineRule="auto"/>
        <w:ind w:left="171" w:right="426" w:firstLine="638"/>
        <w:jc w:val="both"/>
        <w:rPr>
          <w:sz w:val="32"/>
        </w:rPr>
      </w:pPr>
      <w:r>
        <w:rPr>
          <w:spacing w:val="5"/>
          <w:sz w:val="32"/>
        </w:rPr>
        <w:t>知晓个人血压。</w:t>
      </w:r>
      <w:r>
        <w:rPr>
          <w:rFonts w:ascii="Times New Roman" w:eastAsia="Times New Roman"/>
          <w:sz w:val="32"/>
        </w:rPr>
        <w:t>18</w:t>
      </w:r>
      <w:r>
        <w:rPr>
          <w:rFonts w:ascii="Times New Roman" w:eastAsia="Times New Roman"/>
          <w:spacing w:val="-17"/>
          <w:sz w:val="32"/>
        </w:rPr>
        <w:t xml:space="preserve"> </w:t>
      </w:r>
      <w:r>
        <w:rPr>
          <w:spacing w:val="4"/>
          <w:sz w:val="32"/>
        </w:rPr>
        <w:t>岁及以上成人定期自我监测血压，关</w:t>
      </w:r>
      <w:r>
        <w:rPr>
          <w:spacing w:val="4"/>
          <w:w w:val="95"/>
          <w:sz w:val="32"/>
        </w:rPr>
        <w:t xml:space="preserve">注血压变化，控制高血压危险因素。超重或肥胖、高盐饮食、 吸烟、长期饮酒、长期精神紧张、体力活动不足者等是高血压 </w:t>
      </w:r>
      <w:r>
        <w:rPr>
          <w:spacing w:val="-7"/>
          <w:sz w:val="32"/>
        </w:rPr>
        <w:t>的高危人群。建议血压为正常高值者</w:t>
      </w:r>
      <w:r>
        <w:rPr>
          <w:sz w:val="32"/>
        </w:rPr>
        <w:t>（</w:t>
      </w:r>
      <w:r>
        <w:rPr>
          <w:rFonts w:ascii="Times New Roman" w:eastAsia="Times New Roman"/>
          <w:sz w:val="32"/>
        </w:rPr>
        <w:t>120</w:t>
      </w:r>
      <w:r>
        <w:rPr>
          <w:sz w:val="32"/>
        </w:rPr>
        <w:t>～</w:t>
      </w:r>
      <w:r>
        <w:rPr>
          <w:rFonts w:ascii="Times New Roman" w:eastAsia="Times New Roman"/>
          <w:sz w:val="32"/>
        </w:rPr>
        <w:t>139</w:t>
      </w:r>
      <w:r>
        <w:rPr>
          <w:rFonts w:ascii="Times New Roman" w:eastAsia="Times New Roman"/>
          <w:spacing w:val="-9"/>
          <w:sz w:val="32"/>
        </w:rPr>
        <w:t xml:space="preserve"> </w:t>
      </w:r>
      <w:r>
        <w:rPr>
          <w:rFonts w:ascii="Times New Roman" w:eastAsia="Times New Roman"/>
          <w:sz w:val="32"/>
        </w:rPr>
        <w:t>mmHg</w:t>
      </w:r>
      <w:r>
        <w:rPr>
          <w:rFonts w:ascii="Times New Roman" w:eastAsia="Times New Roman"/>
          <w:spacing w:val="-4"/>
          <w:sz w:val="32"/>
        </w:rPr>
        <w:t xml:space="preserve"> </w:t>
      </w:r>
      <w:r>
        <w:rPr>
          <w:rFonts w:ascii="Times New Roman" w:eastAsia="Times New Roman"/>
          <w:sz w:val="32"/>
        </w:rPr>
        <w:t>/80</w:t>
      </w:r>
      <w:r>
        <w:rPr>
          <w:sz w:val="32"/>
        </w:rPr>
        <w:t>～</w:t>
      </w:r>
      <w:r>
        <w:rPr>
          <w:rFonts w:ascii="Times New Roman" w:eastAsia="Times New Roman"/>
          <w:sz w:val="32"/>
        </w:rPr>
        <w:t>89 mmHg</w:t>
      </w:r>
      <w:r>
        <w:rPr>
          <w:rFonts w:ascii="Times New Roman" w:eastAsia="Times New Roman"/>
          <w:spacing w:val="16"/>
          <w:sz w:val="32"/>
        </w:rPr>
        <w:t xml:space="preserve"> </w:t>
      </w:r>
      <w:r>
        <w:rPr>
          <w:sz w:val="32"/>
        </w:rPr>
        <w:t>）及早注意控制以上危险因素。建议血压正常者至少每</w:t>
      </w:r>
      <w:r>
        <w:rPr>
          <w:spacing w:val="-20"/>
          <w:sz w:val="32"/>
        </w:rPr>
        <w:t xml:space="preserve">年测量 </w:t>
      </w:r>
      <w:r>
        <w:rPr>
          <w:rFonts w:ascii="Times New Roman" w:eastAsia="Times New Roman"/>
          <w:sz w:val="32"/>
        </w:rPr>
        <w:t>1</w:t>
      </w:r>
      <w:r>
        <w:rPr>
          <w:rFonts w:ascii="Times New Roman" w:eastAsia="Times New Roman"/>
          <w:spacing w:val="-7"/>
          <w:sz w:val="32"/>
        </w:rPr>
        <w:t xml:space="preserve"> </w:t>
      </w:r>
      <w:r>
        <w:rPr>
          <w:spacing w:val="4"/>
          <w:sz w:val="32"/>
        </w:rPr>
        <w:t>次血压，高危人群经常测量血压，并接受医务人员的健康指导。</w:t>
      </w:r>
    </w:p>
    <w:p>
      <w:pPr>
        <w:pStyle w:val="10"/>
        <w:numPr>
          <w:ilvl w:val="0"/>
          <w:numId w:val="30"/>
        </w:numPr>
        <w:tabs>
          <w:tab w:val="left" w:pos="1052"/>
        </w:tabs>
        <w:spacing w:before="9" w:after="0" w:line="350" w:lineRule="auto"/>
        <w:ind w:left="171" w:right="425" w:firstLine="638"/>
        <w:jc w:val="both"/>
        <w:rPr>
          <w:sz w:val="32"/>
        </w:rPr>
      </w:pPr>
      <w:r>
        <w:rPr>
          <w:spacing w:val="-15"/>
          <w:sz w:val="32"/>
        </w:rPr>
        <w:t xml:space="preserve">自我血压管理。在未使用降压药物的情况下，非同日 </w:t>
      </w:r>
      <w:r>
        <w:rPr>
          <w:rFonts w:ascii="Times New Roman" w:hAnsi="Times New Roman" w:eastAsia="Times New Roman"/>
          <w:sz w:val="32"/>
        </w:rPr>
        <w:t>3</w:t>
      </w:r>
      <w:r>
        <w:rPr>
          <w:rFonts w:ascii="Times New Roman" w:hAnsi="Times New Roman" w:eastAsia="Times New Roman"/>
          <w:spacing w:val="-5"/>
          <w:sz w:val="32"/>
        </w:rPr>
        <w:t xml:space="preserve"> </w:t>
      </w:r>
      <w:r>
        <w:rPr>
          <w:sz w:val="32"/>
        </w:rPr>
        <w:t>次测量收缩压</w:t>
      </w:r>
      <w:r>
        <w:rPr>
          <w:rFonts w:ascii="Times New Roman" w:hAnsi="Times New Roman" w:eastAsia="Times New Roman"/>
          <w:sz w:val="32"/>
        </w:rPr>
        <w:t>≥140mmHg</w:t>
      </w:r>
      <w:r>
        <w:rPr>
          <w:rFonts w:ascii="Times New Roman" w:hAnsi="Times New Roman" w:eastAsia="Times New Roman"/>
          <w:spacing w:val="-13"/>
          <w:sz w:val="32"/>
        </w:rPr>
        <w:t xml:space="preserve"> </w:t>
      </w:r>
      <w:r>
        <w:rPr>
          <w:sz w:val="32"/>
        </w:rPr>
        <w:t>和（或）舒张压</w:t>
      </w:r>
      <w:r>
        <w:rPr>
          <w:rFonts w:ascii="Times New Roman" w:hAnsi="Times New Roman" w:eastAsia="Times New Roman"/>
          <w:sz w:val="32"/>
        </w:rPr>
        <w:t>≥90mmHg</w:t>
      </w:r>
      <w:r>
        <w:rPr>
          <w:sz w:val="32"/>
        </w:rPr>
        <w:t>，可诊断为高</w:t>
      </w:r>
      <w:r>
        <w:rPr>
          <w:spacing w:val="4"/>
          <w:w w:val="95"/>
          <w:sz w:val="32"/>
        </w:rPr>
        <w:t xml:space="preserve">血压。高血压患者要学会自我健康管理，认真遵医嘱服药，经 </w:t>
      </w:r>
      <w:r>
        <w:rPr>
          <w:spacing w:val="4"/>
          <w:sz w:val="32"/>
        </w:rPr>
        <w:t>常测量血压和复诊。</w:t>
      </w:r>
    </w:p>
    <w:p>
      <w:pPr>
        <w:pStyle w:val="10"/>
        <w:numPr>
          <w:ilvl w:val="0"/>
          <w:numId w:val="30"/>
        </w:numPr>
        <w:tabs>
          <w:tab w:val="left" w:pos="1052"/>
        </w:tabs>
        <w:spacing w:before="6" w:after="0" w:line="350" w:lineRule="auto"/>
        <w:ind w:left="171" w:right="429" w:firstLine="638"/>
        <w:jc w:val="both"/>
        <w:rPr>
          <w:sz w:val="32"/>
        </w:rPr>
      </w:pPr>
      <w:r>
        <w:rPr>
          <w:spacing w:val="-11"/>
          <w:sz w:val="32"/>
        </w:rPr>
        <w:t>注重合理膳食。建议高血压高危人群及患者注意膳食盐的</w:t>
      </w:r>
      <w:r>
        <w:rPr>
          <w:spacing w:val="-15"/>
          <w:sz w:val="32"/>
        </w:rPr>
        <w:t xml:space="preserve">摄入，每日食盐摄入量不超过 </w:t>
      </w:r>
      <w:r>
        <w:rPr>
          <w:rFonts w:ascii="Times New Roman" w:eastAsia="Times New Roman"/>
          <w:sz w:val="32"/>
        </w:rPr>
        <w:t>5g</w:t>
      </w:r>
      <w:r>
        <w:rPr>
          <w:sz w:val="32"/>
        </w:rPr>
        <w:t>，并戒酒，减少摄入富含油脂和高糖的食物，限量食用烹调油。</w:t>
      </w:r>
    </w:p>
    <w:p>
      <w:pPr>
        <w:pStyle w:val="10"/>
        <w:numPr>
          <w:ilvl w:val="0"/>
          <w:numId w:val="30"/>
        </w:numPr>
        <w:tabs>
          <w:tab w:val="left" w:pos="1052"/>
        </w:tabs>
        <w:spacing w:before="4" w:after="0" w:line="350" w:lineRule="auto"/>
        <w:ind w:left="171" w:right="429" w:firstLine="638"/>
        <w:jc w:val="both"/>
        <w:rPr>
          <w:sz w:val="32"/>
        </w:rPr>
      </w:pPr>
      <w:r>
        <w:rPr>
          <w:spacing w:val="-11"/>
          <w:sz w:val="32"/>
        </w:rPr>
        <w:t>酌情量力运动。建议心脑血管疾病高危人群</w:t>
      </w:r>
      <w:r>
        <w:rPr>
          <w:sz w:val="32"/>
        </w:rPr>
        <w:t>（具有心脑血</w:t>
      </w:r>
      <w:r>
        <w:rPr>
          <w:spacing w:val="4"/>
          <w:w w:val="95"/>
          <w:sz w:val="32"/>
        </w:rPr>
        <w:t xml:space="preserve">管既往病史或血压异常、血脂异常，或根据世界卫生组织发布 </w:t>
      </w:r>
      <w:r>
        <w:rPr>
          <w:spacing w:val="-11"/>
          <w:sz w:val="32"/>
        </w:rPr>
        <w:t xml:space="preserve">的《心血管风险评估和管理指南》判断 </w:t>
      </w:r>
      <w:r>
        <w:rPr>
          <w:rFonts w:ascii="Times New Roman" w:hAnsi="Times New Roman" w:eastAsia="Times New Roman"/>
          <w:sz w:val="32"/>
        </w:rPr>
        <w:t>10</w:t>
      </w:r>
      <w:r>
        <w:rPr>
          <w:rFonts w:ascii="Times New Roman" w:hAnsi="Times New Roman" w:eastAsia="Times New Roman"/>
          <w:spacing w:val="-6"/>
          <w:sz w:val="32"/>
        </w:rPr>
        <w:t xml:space="preserve"> </w:t>
      </w:r>
      <w:r>
        <w:rPr>
          <w:sz w:val="32"/>
        </w:rPr>
        <w:t>年心脑血管疾病患病风险</w:t>
      </w:r>
      <w:r>
        <w:rPr>
          <w:rFonts w:ascii="Times New Roman" w:hAnsi="Times New Roman" w:eastAsia="Times New Roman"/>
          <w:sz w:val="32"/>
        </w:rPr>
        <w:t>≥20%</w:t>
      </w:r>
      <w:r>
        <w:rPr>
          <w:sz w:val="32"/>
        </w:rPr>
        <w:t>）及患者的运动形式根据个人健康和体质确定，考虑</w:t>
      </w:r>
      <w:r>
        <w:rPr>
          <w:spacing w:val="4"/>
          <w:w w:val="95"/>
          <w:sz w:val="32"/>
        </w:rPr>
        <w:t>进行心脑血管风险评估，全方位考虑运动限度，以大肌肉群参</w:t>
      </w:r>
    </w:p>
    <w:p>
      <w:pPr>
        <w:spacing w:after="0" w:line="350" w:lineRule="auto"/>
        <w:jc w:val="both"/>
        <w:rPr>
          <w:sz w:val="32"/>
        </w:rPr>
        <w:sectPr>
          <w:pgSz w:w="11910" w:h="16840"/>
          <w:pgMar w:top="1540" w:right="1140" w:bottom="1380" w:left="1400" w:header="0" w:footer="1200" w:gutter="0"/>
        </w:sectPr>
      </w:pPr>
    </w:p>
    <w:p>
      <w:pPr>
        <w:pStyle w:val="3"/>
        <w:spacing w:line="350" w:lineRule="auto"/>
        <w:ind w:right="202" w:firstLine="0"/>
      </w:pPr>
      <w:r>
        <w:rPr>
          <w:w w:val="95"/>
        </w:rPr>
        <w:t xml:space="preserve">与的有氧耐力运动为主，如健走、慢跑、游泳、太极拳等运动， </w:t>
      </w:r>
      <w:r>
        <w:t>活动量一般应达到中等强度。</w:t>
      </w:r>
    </w:p>
    <w:p>
      <w:pPr>
        <w:pStyle w:val="10"/>
        <w:numPr>
          <w:ilvl w:val="0"/>
          <w:numId w:val="30"/>
        </w:numPr>
        <w:tabs>
          <w:tab w:val="left" w:pos="1056"/>
        </w:tabs>
        <w:spacing w:before="3" w:after="0" w:line="240" w:lineRule="auto"/>
        <w:ind w:left="1055" w:right="0" w:hanging="246"/>
        <w:jc w:val="both"/>
        <w:rPr>
          <w:sz w:val="32"/>
        </w:rPr>
      </w:pPr>
      <w:r>
        <w:rPr>
          <w:spacing w:val="5"/>
          <w:sz w:val="32"/>
        </w:rPr>
        <w:t>关注并定期进行血脂检测。</w:t>
      </w:r>
      <w:r>
        <w:rPr>
          <w:rFonts w:ascii="Times New Roman" w:eastAsia="Times New Roman"/>
          <w:sz w:val="32"/>
        </w:rPr>
        <w:t>40</w:t>
      </w:r>
      <w:r>
        <w:rPr>
          <w:rFonts w:ascii="Times New Roman" w:eastAsia="Times New Roman"/>
          <w:spacing w:val="1"/>
          <w:sz w:val="32"/>
        </w:rPr>
        <w:t xml:space="preserve"> </w:t>
      </w:r>
      <w:r>
        <w:rPr>
          <w:spacing w:val="4"/>
          <w:sz w:val="32"/>
        </w:rPr>
        <w:t>岁以下血脂正常人群，每</w:t>
      </w:r>
    </w:p>
    <w:p>
      <w:pPr>
        <w:pStyle w:val="3"/>
        <w:spacing w:before="190" w:line="350" w:lineRule="auto"/>
        <w:ind w:right="270" w:firstLine="0"/>
        <w:jc w:val="both"/>
      </w:pPr>
      <w:r>
        <w:rPr>
          <w:rFonts w:ascii="Times New Roman" w:eastAsia="Times New Roman"/>
          <w:spacing w:val="-2"/>
          <w:w w:val="99"/>
        </w:rPr>
        <w:t>2</w:t>
      </w:r>
      <w:r>
        <w:rPr>
          <w:spacing w:val="2"/>
          <w:w w:val="99"/>
        </w:rPr>
        <w:t>～</w:t>
      </w:r>
      <w:r>
        <w:rPr>
          <w:rFonts w:ascii="Times New Roman" w:eastAsia="Times New Roman"/>
          <w:w w:val="99"/>
        </w:rPr>
        <w:t>5</w:t>
      </w:r>
      <w:r>
        <w:rPr>
          <w:rFonts w:ascii="Times New Roman" w:eastAsia="Times New Roman"/>
        </w:rPr>
        <w:t xml:space="preserve"> </w:t>
      </w:r>
      <w:r>
        <w:rPr>
          <w:w w:val="99"/>
        </w:rPr>
        <w:t>年检测</w:t>
      </w:r>
      <w:r>
        <w:rPr>
          <w:spacing w:val="-86"/>
        </w:rPr>
        <w:t xml:space="preserve"> </w:t>
      </w:r>
      <w:r>
        <w:rPr>
          <w:rFonts w:ascii="Times New Roman" w:eastAsia="Times New Roman"/>
          <w:w w:val="99"/>
        </w:rPr>
        <w:t>1</w:t>
      </w:r>
      <w:r>
        <w:rPr>
          <w:rFonts w:ascii="Times New Roman" w:eastAsia="Times New Roman"/>
        </w:rPr>
        <w:t xml:space="preserve"> </w:t>
      </w:r>
      <w:r>
        <w:rPr>
          <w:spacing w:val="-40"/>
          <w:w w:val="99"/>
        </w:rPr>
        <w:t>次血脂；</w:t>
      </w:r>
      <w:r>
        <w:rPr>
          <w:rFonts w:ascii="Times New Roman" w:eastAsia="Times New Roman"/>
          <w:spacing w:val="1"/>
          <w:w w:val="99"/>
        </w:rPr>
        <w:t>4</w:t>
      </w:r>
      <w:r>
        <w:rPr>
          <w:rFonts w:ascii="Times New Roman" w:eastAsia="Times New Roman"/>
          <w:w w:val="99"/>
        </w:rPr>
        <w:t>0</w:t>
      </w:r>
      <w:r>
        <w:rPr>
          <w:rFonts w:ascii="Times New Roman" w:eastAsia="Times New Roman"/>
        </w:rPr>
        <w:t xml:space="preserve"> </w:t>
      </w:r>
      <w:r>
        <w:rPr>
          <w:w w:val="99"/>
        </w:rPr>
        <w:t>岁及以上人群至少每年检测</w:t>
      </w:r>
      <w:r>
        <w:rPr>
          <w:spacing w:val="-86"/>
        </w:rPr>
        <w:t xml:space="preserve"> </w:t>
      </w:r>
      <w:r>
        <w:rPr>
          <w:rFonts w:ascii="Times New Roman" w:eastAsia="Times New Roman"/>
          <w:w w:val="99"/>
        </w:rPr>
        <w:t>1</w:t>
      </w:r>
      <w:r>
        <w:rPr>
          <w:rFonts w:ascii="Times New Roman" w:eastAsia="Times New Roman"/>
        </w:rPr>
        <w:t xml:space="preserve"> </w:t>
      </w:r>
      <w:r>
        <w:rPr>
          <w:w w:val="99"/>
        </w:rPr>
        <w:t>次血脂。</w:t>
      </w:r>
      <w:r>
        <w:rPr>
          <w:spacing w:val="-7"/>
        </w:rPr>
        <w:t xml:space="preserve">心脑血管疾病高危人群每 </w:t>
      </w:r>
      <w:r>
        <w:rPr>
          <w:rFonts w:ascii="Times New Roman" w:eastAsia="Times New Roman"/>
        </w:rPr>
        <w:t xml:space="preserve">6 </w:t>
      </w:r>
      <w:r>
        <w:rPr>
          <w:spacing w:val="-17"/>
        </w:rPr>
        <w:t xml:space="preserve">个月检测 </w:t>
      </w:r>
      <w:r>
        <w:rPr>
          <w:rFonts w:ascii="Times New Roman" w:eastAsia="Times New Roman"/>
        </w:rPr>
        <w:t xml:space="preserve">1 </w:t>
      </w:r>
      <w:r>
        <w:t>次血脂。</w:t>
      </w:r>
    </w:p>
    <w:p>
      <w:pPr>
        <w:pStyle w:val="10"/>
        <w:numPr>
          <w:ilvl w:val="0"/>
          <w:numId w:val="30"/>
        </w:numPr>
        <w:tabs>
          <w:tab w:val="left" w:pos="1052"/>
        </w:tabs>
        <w:spacing w:before="2" w:after="0" w:line="350" w:lineRule="auto"/>
        <w:ind w:left="171" w:right="429" w:firstLine="638"/>
        <w:jc w:val="both"/>
        <w:rPr>
          <w:sz w:val="32"/>
        </w:rPr>
      </w:pPr>
      <w:r>
        <w:rPr>
          <w:spacing w:val="-12"/>
          <w:sz w:val="32"/>
        </w:rPr>
        <w:t>防范脑卒中发生。脑卒中发病率、死亡率的上升与血压升</w:t>
      </w:r>
      <w:r>
        <w:rPr>
          <w:spacing w:val="4"/>
          <w:w w:val="95"/>
          <w:sz w:val="32"/>
        </w:rPr>
        <w:t xml:space="preserve">高关系密切，血压越高，脑卒中风险越高。血脂异常与缺血性 脑卒中发病率之间存在明显相关性。房颤是引发缺血性脑卒中 的重要病因。降低血压，控制血脂，保持健康体重，可降低脑 </w:t>
      </w:r>
      <w:r>
        <w:rPr>
          <w:sz w:val="32"/>
        </w:rPr>
        <w:t>卒中风险。建议房颤患者遵医嘱采用抗凝治疗。</w:t>
      </w:r>
    </w:p>
    <w:p>
      <w:pPr>
        <w:pStyle w:val="10"/>
        <w:numPr>
          <w:ilvl w:val="0"/>
          <w:numId w:val="30"/>
        </w:numPr>
        <w:tabs>
          <w:tab w:val="left" w:pos="1060"/>
        </w:tabs>
        <w:spacing w:before="7" w:after="0" w:line="350" w:lineRule="auto"/>
        <w:ind w:left="171" w:right="270" w:firstLine="638"/>
        <w:jc w:val="left"/>
        <w:rPr>
          <w:sz w:val="32"/>
        </w:rPr>
      </w:pPr>
      <w:r>
        <w:rPr>
          <w:spacing w:val="6"/>
          <w:sz w:val="32"/>
        </w:rPr>
        <w:t>学习掌握心脑血管疾病发病初期正确的自救措施及紧急</w:t>
      </w:r>
      <w:r>
        <w:rPr>
          <w:spacing w:val="5"/>
          <w:sz w:val="32"/>
        </w:rPr>
        <w:t>就医指导。急性心肌梗死疼痛的部位（</w:t>
      </w:r>
      <w:r>
        <w:rPr>
          <w:spacing w:val="4"/>
          <w:sz w:val="32"/>
        </w:rPr>
        <w:t>心前区、胸骨后、剑突</w:t>
      </w:r>
      <w:r>
        <w:rPr>
          <w:spacing w:val="5"/>
          <w:sz w:val="32"/>
        </w:rPr>
        <w:t>下、左肩等）</w:t>
      </w:r>
      <w:r>
        <w:rPr>
          <w:spacing w:val="4"/>
          <w:sz w:val="32"/>
        </w:rPr>
        <w:t>与心绞痛相同，但持续时间较长，程度重，并可伴有恶心、呕吐、出汗等症状，应让病人绝对卧床休息，松解领口，保持室内安静和空气流通。有条件者可立即吸氧，舌下</w:t>
      </w:r>
      <w:r>
        <w:rPr>
          <w:spacing w:val="-9"/>
          <w:sz w:val="32"/>
        </w:rPr>
        <w:t xml:space="preserve">含服硝酸甘油 </w:t>
      </w:r>
      <w:r>
        <w:rPr>
          <w:rFonts w:ascii="Times New Roman" w:eastAsia="Times New Roman"/>
          <w:sz w:val="32"/>
        </w:rPr>
        <w:t>1</w:t>
      </w:r>
      <w:r>
        <w:rPr>
          <w:rFonts w:ascii="Times New Roman" w:eastAsia="Times New Roman"/>
          <w:spacing w:val="-2"/>
          <w:sz w:val="32"/>
        </w:rPr>
        <w:t xml:space="preserve"> </w:t>
      </w:r>
      <w:r>
        <w:rPr>
          <w:spacing w:val="4"/>
          <w:sz w:val="32"/>
        </w:rPr>
        <w:t>片，同时立即呼叫急救中心，切忌乘公共汽车或扶病人步行去医院。早期脑卒中发病的特点是突然一侧肢体无力或者麻木，突然说话不清或听不懂别人讲话，突然视物旋转、站立不能，一过性视力障碍、眼前发黑，视物模糊，出现</w:t>
      </w:r>
      <w:r>
        <w:rPr>
          <w:spacing w:val="-2"/>
          <w:sz w:val="32"/>
        </w:rPr>
        <w:t>难以忍受的头痛，症状逐渐加重或呈持续性，伴有恶心、呕吐。</w:t>
      </w:r>
      <w:r>
        <w:rPr>
          <w:spacing w:val="4"/>
          <w:sz w:val="32"/>
        </w:rPr>
        <w:t>出现这种情况时，应将患者放平，仰卧位，不要枕枕头，头偏向一侧，注意给病人保暖。同时，立即拨打急救电话，尽量快</w:t>
      </w:r>
    </w:p>
    <w:p>
      <w:pPr>
        <w:spacing w:after="0" w:line="350" w:lineRule="auto"/>
        <w:jc w:val="left"/>
        <w:rPr>
          <w:sz w:val="32"/>
        </w:rPr>
        <w:sectPr>
          <w:pgSz w:w="11910" w:h="16840"/>
          <w:pgMar w:top="1540" w:right="1140" w:bottom="1380" w:left="1400" w:header="0" w:footer="1200" w:gutter="0"/>
        </w:sectPr>
      </w:pPr>
    </w:p>
    <w:p>
      <w:pPr>
        <w:pStyle w:val="3"/>
        <w:spacing w:line="350" w:lineRule="auto"/>
        <w:ind w:right="432" w:firstLine="0"/>
      </w:pPr>
      <w:r>
        <w:t xml:space="preserve">速到达医院。抓住 </w:t>
      </w:r>
      <w:r>
        <w:rPr>
          <w:rFonts w:ascii="Times New Roman" w:eastAsia="Times New Roman"/>
        </w:rPr>
        <w:t xml:space="preserve">4 </w:t>
      </w:r>
      <w:r>
        <w:t>小时的黄金抢救时间窗，接受静脉溶栓治疗，可大幅降低致死率和致残率。</w:t>
      </w:r>
    </w:p>
    <w:p>
      <w:pPr>
        <w:pStyle w:val="2"/>
        <w:spacing w:before="3"/>
        <w:rPr>
          <w:rFonts w:hint="eastAsia" w:ascii="仿宋" w:hAnsi="仿宋" w:eastAsia="仿宋"/>
        </w:rPr>
      </w:pPr>
      <w:bookmarkStart w:id="67" w:name="——社会和政府："/>
      <w:bookmarkEnd w:id="67"/>
      <w:r>
        <w:rPr>
          <w:rFonts w:ascii="Times New Roman" w:hAnsi="Times New Roman" w:eastAsia="Times New Roman"/>
        </w:rPr>
        <w:t>——</w:t>
      </w:r>
      <w:r>
        <w:rPr>
          <w:rFonts w:hint="eastAsia" w:ascii="仿宋" w:hAnsi="仿宋" w:eastAsia="仿宋"/>
        </w:rPr>
        <w:t>社会和政府：</w:t>
      </w:r>
    </w:p>
    <w:p>
      <w:pPr>
        <w:pStyle w:val="10"/>
        <w:numPr>
          <w:ilvl w:val="0"/>
          <w:numId w:val="31"/>
        </w:numPr>
        <w:tabs>
          <w:tab w:val="left" w:pos="1052"/>
        </w:tabs>
        <w:spacing w:before="190" w:after="0" w:line="350" w:lineRule="auto"/>
        <w:ind w:left="171" w:right="427" w:firstLine="638"/>
        <w:jc w:val="both"/>
        <w:rPr>
          <w:sz w:val="32"/>
        </w:rPr>
      </w:pPr>
      <w:r>
        <w:rPr>
          <w:spacing w:val="-12"/>
          <w:sz w:val="32"/>
        </w:rPr>
        <w:t>鼓励、支持红十字会等社会组织和急救中心等医疗机构开</w:t>
      </w:r>
      <w:r>
        <w:rPr>
          <w:spacing w:val="4"/>
          <w:w w:val="95"/>
          <w:sz w:val="32"/>
        </w:rPr>
        <w:t xml:space="preserve">展群众性应急救护培训，普及全民应急救护知识，使公众掌握 </w:t>
      </w:r>
      <w:r>
        <w:rPr>
          <w:spacing w:val="-6"/>
          <w:sz w:val="32"/>
        </w:rPr>
        <w:t xml:space="preserve">基本必备的心肺复苏等应急自救互救知识与技能。到 </w:t>
      </w:r>
      <w:r>
        <w:rPr>
          <w:rFonts w:ascii="Times New Roman" w:eastAsia="Times New Roman"/>
          <w:sz w:val="32"/>
        </w:rPr>
        <w:t>2022</w:t>
      </w:r>
      <w:r>
        <w:rPr>
          <w:rFonts w:ascii="Times New Roman" w:eastAsia="Times New Roman"/>
          <w:spacing w:val="-6"/>
          <w:sz w:val="32"/>
        </w:rPr>
        <w:t xml:space="preserve"> </w:t>
      </w:r>
      <w:r>
        <w:rPr>
          <w:sz w:val="32"/>
        </w:rPr>
        <w:t>年和</w:t>
      </w:r>
      <w:r>
        <w:rPr>
          <w:rFonts w:ascii="Times New Roman" w:eastAsia="Times New Roman"/>
          <w:sz w:val="32"/>
        </w:rPr>
        <w:t>2030</w:t>
      </w:r>
      <w:r>
        <w:rPr>
          <w:rFonts w:ascii="Times New Roman" w:eastAsia="Times New Roman"/>
          <w:spacing w:val="-3"/>
          <w:sz w:val="32"/>
        </w:rPr>
        <w:t xml:space="preserve"> </w:t>
      </w:r>
      <w:r>
        <w:rPr>
          <w:spacing w:val="-5"/>
          <w:sz w:val="32"/>
        </w:rPr>
        <w:t xml:space="preserve">年取得急救培训证书的人员分别达到 </w:t>
      </w:r>
      <w:r>
        <w:rPr>
          <w:rFonts w:ascii="Times New Roman" w:eastAsia="Times New Roman"/>
          <w:sz w:val="32"/>
        </w:rPr>
        <w:t>1%</w:t>
      </w:r>
      <w:r>
        <w:rPr>
          <w:spacing w:val="-42"/>
          <w:sz w:val="32"/>
        </w:rPr>
        <w:t xml:space="preserve">和 </w:t>
      </w:r>
      <w:r>
        <w:rPr>
          <w:rFonts w:ascii="Times New Roman" w:eastAsia="Times New Roman"/>
          <w:spacing w:val="-3"/>
          <w:sz w:val="32"/>
        </w:rPr>
        <w:t>3%</w:t>
      </w:r>
      <w:r>
        <w:rPr>
          <w:spacing w:val="-2"/>
          <w:sz w:val="32"/>
        </w:rPr>
        <w:t>，按照师生</w:t>
      </w:r>
    </w:p>
    <w:p>
      <w:pPr>
        <w:pStyle w:val="3"/>
        <w:spacing w:before="5" w:line="350" w:lineRule="auto"/>
        <w:ind w:right="428" w:firstLine="0"/>
        <w:jc w:val="both"/>
        <w:rPr>
          <w:rFonts w:ascii="Times New Roman" w:hAnsi="Times New Roman" w:eastAsia="Times New Roman"/>
        </w:rPr>
      </w:pPr>
      <w:r>
        <w:rPr>
          <w:rFonts w:ascii="Times New Roman" w:hAnsi="Times New Roman" w:eastAsia="Times New Roman"/>
          <w:spacing w:val="-15"/>
        </w:rPr>
        <w:t>1</w:t>
      </w:r>
      <w:r>
        <w:rPr>
          <w:rFonts w:hint="eastAsia" w:ascii="宋体" w:hAnsi="宋体" w:eastAsia="宋体"/>
          <w:spacing w:val="-15"/>
        </w:rPr>
        <w:t>∶</w:t>
      </w:r>
      <w:r>
        <w:rPr>
          <w:rFonts w:ascii="Times New Roman" w:hAnsi="Times New Roman" w:eastAsia="Times New Roman"/>
          <w:spacing w:val="-15"/>
        </w:rPr>
        <w:t>50</w:t>
      </w:r>
      <w:r>
        <w:rPr>
          <w:rFonts w:ascii="Times New Roman" w:hAnsi="Times New Roman" w:eastAsia="Times New Roman"/>
          <w:spacing w:val="-9"/>
        </w:rPr>
        <w:t xml:space="preserve"> </w:t>
      </w:r>
      <w:r>
        <w:rPr>
          <w:spacing w:val="-3"/>
        </w:rPr>
        <w:t>的比例对中小学教职人员进行急救员公益培训。完善公共</w:t>
      </w:r>
      <w:r>
        <w:rPr>
          <w:spacing w:val="4"/>
          <w:w w:val="95"/>
        </w:rPr>
        <w:t xml:space="preserve">场所急救设施设备配备标准，在学校、机关、企事业单位和机 场、车站、港口客运站、大型商场、电影院等人员密集场所配 </w:t>
      </w:r>
      <w:r>
        <w:rPr>
          <w:spacing w:val="-8"/>
        </w:rPr>
        <w:t>备急救药品、器材和设施，配备自动体外除颤器</w:t>
      </w:r>
      <w:r>
        <w:rPr>
          <w:spacing w:val="-6"/>
        </w:rPr>
        <w:t>（</w:t>
      </w:r>
      <w:r>
        <w:rPr>
          <w:rFonts w:ascii="Times New Roman" w:hAnsi="Times New Roman" w:eastAsia="Times New Roman"/>
          <w:spacing w:val="-6"/>
        </w:rPr>
        <w:t>AED</w:t>
      </w:r>
      <w:r>
        <w:rPr>
          <w:spacing w:val="-6"/>
        </w:rPr>
        <w:t>）</w:t>
      </w:r>
      <w:r>
        <w:rPr>
          <w:spacing w:val="-40"/>
        </w:rPr>
        <w:t xml:space="preserve">。每 </w:t>
      </w:r>
      <w:r>
        <w:rPr>
          <w:rFonts w:ascii="Times New Roman" w:hAnsi="Times New Roman" w:eastAsia="Times New Roman"/>
        </w:rPr>
        <w:t>5</w:t>
      </w:r>
    </w:p>
    <w:p>
      <w:pPr>
        <w:pStyle w:val="3"/>
        <w:spacing w:before="6"/>
        <w:ind w:right="0" w:firstLine="0"/>
        <w:jc w:val="both"/>
      </w:pPr>
      <w:r>
        <w:rPr>
          <w:spacing w:val="-16"/>
        </w:rPr>
        <w:t xml:space="preserve">万人配置 </w:t>
      </w:r>
      <w:r>
        <w:rPr>
          <w:rFonts w:ascii="Times New Roman" w:eastAsia="Times New Roman"/>
        </w:rPr>
        <w:t>1</w:t>
      </w:r>
      <w:r>
        <w:rPr>
          <w:rFonts w:ascii="Times New Roman" w:eastAsia="Times New Roman"/>
          <w:spacing w:val="-8"/>
        </w:rPr>
        <w:t xml:space="preserve"> </w:t>
      </w:r>
      <w:r>
        <w:rPr>
          <w:spacing w:val="4"/>
        </w:rPr>
        <w:t>辆救护车，缩短急救反应时间，院前医疗急救机构</w:t>
      </w:r>
    </w:p>
    <w:p>
      <w:pPr>
        <w:pStyle w:val="3"/>
        <w:spacing w:before="190"/>
        <w:ind w:right="0" w:firstLine="0"/>
        <w:jc w:val="both"/>
      </w:pPr>
      <w:r>
        <w:rPr>
          <w:spacing w:val="-27"/>
        </w:rPr>
        <w:t xml:space="preserve">电话 </w:t>
      </w:r>
      <w:r>
        <w:rPr>
          <w:rFonts w:ascii="Times New Roman" w:eastAsia="Times New Roman"/>
        </w:rPr>
        <w:t xml:space="preserve">10 </w:t>
      </w:r>
      <w:r>
        <w:rPr>
          <w:spacing w:val="-16"/>
        </w:rPr>
        <w:t xml:space="preserve">秒接听率 </w:t>
      </w:r>
      <w:r>
        <w:rPr>
          <w:rFonts w:ascii="Times New Roman" w:eastAsia="Times New Roman"/>
          <w:spacing w:val="-23"/>
        </w:rPr>
        <w:t>100</w:t>
      </w:r>
      <w:r>
        <w:rPr>
          <w:spacing w:val="-14"/>
        </w:rPr>
        <w:t xml:space="preserve">％，提高救护车接报后 </w:t>
      </w:r>
      <w:r>
        <w:rPr>
          <w:rFonts w:ascii="Times New Roman" w:eastAsia="Times New Roman"/>
        </w:rPr>
        <w:t xml:space="preserve">5 </w:t>
      </w:r>
      <w:r>
        <w:t>分钟内的发车率。</w:t>
      </w:r>
    </w:p>
    <w:p>
      <w:pPr>
        <w:pStyle w:val="3"/>
        <w:spacing w:before="190" w:line="350" w:lineRule="auto"/>
        <w:ind w:firstLine="0"/>
        <w:rPr>
          <w:rFonts w:hint="eastAsia" w:ascii="楷体" w:eastAsia="楷体"/>
        </w:rPr>
      </w:pPr>
      <w:r>
        <w:rPr>
          <w:rFonts w:hint="eastAsia" w:ascii="楷体" w:eastAsia="楷体"/>
          <w:spacing w:val="5"/>
          <w:w w:val="95"/>
        </w:rPr>
        <w:t>（</w:t>
      </w:r>
      <w:r>
        <w:rPr>
          <w:rFonts w:hint="eastAsia" w:ascii="楷体" w:eastAsia="楷体"/>
          <w:spacing w:val="4"/>
          <w:w w:val="95"/>
        </w:rPr>
        <w:t xml:space="preserve">卫生健康委牵头，教育部、财政部、中国红十字会总会等按 </w:t>
      </w:r>
      <w:r>
        <w:rPr>
          <w:rFonts w:hint="eastAsia" w:ascii="楷体" w:eastAsia="楷体"/>
        </w:rPr>
        <w:t>职责分工负责）</w:t>
      </w:r>
    </w:p>
    <w:p>
      <w:pPr>
        <w:pStyle w:val="10"/>
        <w:numPr>
          <w:ilvl w:val="0"/>
          <w:numId w:val="31"/>
        </w:numPr>
        <w:tabs>
          <w:tab w:val="left" w:pos="1053"/>
        </w:tabs>
        <w:spacing w:before="2" w:after="0" w:line="240" w:lineRule="auto"/>
        <w:ind w:left="1052" w:right="0" w:hanging="243"/>
        <w:jc w:val="both"/>
        <w:rPr>
          <w:sz w:val="32"/>
        </w:rPr>
      </w:pPr>
      <w:r>
        <w:rPr>
          <w:spacing w:val="-14"/>
          <w:sz w:val="32"/>
        </w:rPr>
        <w:t xml:space="preserve">全面实施 </w:t>
      </w:r>
      <w:r>
        <w:rPr>
          <w:rFonts w:ascii="Times New Roman" w:eastAsia="Times New Roman"/>
          <w:sz w:val="32"/>
        </w:rPr>
        <w:t>35</w:t>
      </w:r>
      <w:r>
        <w:rPr>
          <w:rFonts w:ascii="Times New Roman" w:eastAsia="Times New Roman"/>
          <w:spacing w:val="8"/>
          <w:sz w:val="32"/>
        </w:rPr>
        <w:t xml:space="preserve"> </w:t>
      </w:r>
      <w:r>
        <w:rPr>
          <w:sz w:val="32"/>
        </w:rPr>
        <w:t>岁以上人群首诊测血压制度。基层医疗卫生</w:t>
      </w:r>
    </w:p>
    <w:p>
      <w:pPr>
        <w:pStyle w:val="3"/>
        <w:spacing w:before="190" w:line="350" w:lineRule="auto"/>
        <w:ind w:right="270" w:firstLine="0"/>
        <w:jc w:val="both"/>
        <w:rPr>
          <w:rFonts w:hint="eastAsia" w:ascii="楷体" w:eastAsia="楷体"/>
        </w:rPr>
      </w:pPr>
      <w:r>
        <w:rPr>
          <w:spacing w:val="-17"/>
        </w:rPr>
        <w:t xml:space="preserve">机构为辖区 </w:t>
      </w:r>
      <w:r>
        <w:rPr>
          <w:rFonts w:ascii="Times New Roman" w:eastAsia="Times New Roman"/>
        </w:rPr>
        <w:t>35</w:t>
      </w:r>
      <w:r>
        <w:rPr>
          <w:rFonts w:ascii="Times New Roman" w:eastAsia="Times New Roman"/>
          <w:spacing w:val="-21"/>
        </w:rPr>
        <w:t xml:space="preserve"> </w:t>
      </w:r>
      <w:r>
        <w:t>岁及以上常住居民中原发性高血压患者提供规范</w:t>
      </w:r>
      <w:r>
        <w:rPr>
          <w:spacing w:val="4"/>
        </w:rPr>
        <w:t>的健康管理服务。乡镇卫生院和社区卫生服务中心应配备血脂检测仪器，扩大心脑血管疾病高危人群筛查干预覆盖面，在医院就诊人群中开展心脑血管疾病机会性筛查。增加高血压检出</w:t>
      </w:r>
      <w:r>
        <w:rPr>
          <w:w w:val="95"/>
        </w:rPr>
        <w:t>的设备与场所。</w:t>
      </w:r>
      <w:r>
        <w:rPr>
          <w:rFonts w:hint="eastAsia" w:ascii="楷体" w:eastAsia="楷体"/>
          <w:w w:val="95"/>
        </w:rPr>
        <w:t>（</w:t>
      </w:r>
      <w:r>
        <w:rPr>
          <w:rFonts w:hint="eastAsia" w:ascii="楷体" w:eastAsia="楷体"/>
          <w:spacing w:val="-2"/>
          <w:w w:val="95"/>
        </w:rPr>
        <w:t>卫生健康委牵头，财政部等按职责分工负责</w:t>
      </w:r>
      <w:r>
        <w:rPr>
          <w:rFonts w:hint="eastAsia" w:ascii="楷体" w:eastAsia="楷体"/>
          <w:w w:val="95"/>
        </w:rPr>
        <w:t>）</w:t>
      </w:r>
    </w:p>
    <w:p>
      <w:pPr>
        <w:pStyle w:val="10"/>
        <w:numPr>
          <w:ilvl w:val="0"/>
          <w:numId w:val="31"/>
        </w:numPr>
        <w:tabs>
          <w:tab w:val="left" w:pos="1052"/>
        </w:tabs>
        <w:spacing w:before="8" w:after="0" w:line="350" w:lineRule="auto"/>
        <w:ind w:left="171" w:right="425" w:firstLine="638"/>
        <w:jc w:val="left"/>
        <w:rPr>
          <w:sz w:val="32"/>
        </w:rPr>
      </w:pPr>
      <w:r>
        <w:rPr>
          <w:sz w:val="32"/>
        </w:rPr>
        <w:t>推进</w:t>
      </w:r>
      <w:r>
        <w:rPr>
          <w:rFonts w:ascii="Times New Roman" w:hAnsi="Times New Roman" w:eastAsia="Times New Roman"/>
          <w:sz w:val="32"/>
        </w:rPr>
        <w:t>“</w:t>
      </w:r>
      <w:r>
        <w:rPr>
          <w:sz w:val="32"/>
        </w:rPr>
        <w:t>三高</w:t>
      </w:r>
      <w:r>
        <w:rPr>
          <w:rFonts w:ascii="Times New Roman" w:hAnsi="Times New Roman" w:eastAsia="Times New Roman"/>
          <w:spacing w:val="-8"/>
          <w:sz w:val="32"/>
        </w:rPr>
        <w:t>”</w:t>
      </w:r>
      <w:r>
        <w:rPr>
          <w:spacing w:val="-8"/>
          <w:sz w:val="32"/>
        </w:rPr>
        <w:t>（</w:t>
      </w:r>
      <w:r>
        <w:rPr>
          <w:spacing w:val="-6"/>
          <w:sz w:val="32"/>
        </w:rPr>
        <w:t>高血压、高血糖、高血脂</w:t>
      </w:r>
      <w:r>
        <w:rPr>
          <w:spacing w:val="-15"/>
          <w:sz w:val="32"/>
        </w:rPr>
        <w:t>）</w:t>
      </w:r>
      <w:r>
        <w:rPr>
          <w:spacing w:val="-4"/>
          <w:sz w:val="32"/>
        </w:rPr>
        <w:t>共管，开展超重</w:t>
      </w:r>
      <w:r>
        <w:rPr>
          <w:spacing w:val="4"/>
          <w:w w:val="95"/>
          <w:sz w:val="32"/>
        </w:rPr>
        <w:t>肥胖、血压血糖增高、血脂异常等高危人群的患病风险评估和</w:t>
      </w:r>
    </w:p>
    <w:p>
      <w:pPr>
        <w:spacing w:after="0" w:line="350" w:lineRule="auto"/>
        <w:jc w:val="left"/>
        <w:rPr>
          <w:sz w:val="32"/>
        </w:rPr>
        <w:sectPr>
          <w:pgSz w:w="11910" w:h="16840"/>
          <w:pgMar w:top="1540" w:right="1140" w:bottom="1380" w:left="1400" w:header="0" w:footer="1200" w:gutter="0"/>
        </w:sectPr>
      </w:pPr>
    </w:p>
    <w:p>
      <w:pPr>
        <w:pStyle w:val="3"/>
        <w:spacing w:line="350" w:lineRule="auto"/>
        <w:ind w:right="426" w:firstLine="0"/>
        <w:rPr>
          <w:rFonts w:hint="eastAsia" w:ascii="楷体" w:eastAsia="楷体"/>
        </w:rPr>
      </w:pPr>
      <w:r>
        <w:rPr>
          <w:spacing w:val="-14"/>
        </w:rPr>
        <w:t>干预指导，做好高血压、糖尿病、血脂异常的规范化管理。</w:t>
      </w:r>
      <w:r>
        <w:rPr>
          <w:rFonts w:hint="eastAsia" w:ascii="楷体" w:eastAsia="楷体"/>
        </w:rPr>
        <w:t>（卫生健康委、中医药局按职责分工负责）</w:t>
      </w:r>
    </w:p>
    <w:p>
      <w:pPr>
        <w:pStyle w:val="10"/>
        <w:numPr>
          <w:ilvl w:val="0"/>
          <w:numId w:val="31"/>
        </w:numPr>
        <w:tabs>
          <w:tab w:val="left" w:pos="1052"/>
        </w:tabs>
        <w:spacing w:before="3" w:after="0" w:line="350" w:lineRule="auto"/>
        <w:ind w:left="171" w:right="270" w:firstLine="638"/>
        <w:jc w:val="left"/>
        <w:rPr>
          <w:rFonts w:hint="eastAsia" w:ascii="楷体" w:eastAsia="楷体"/>
          <w:sz w:val="32"/>
        </w:rPr>
      </w:pPr>
      <w:r>
        <w:rPr>
          <w:spacing w:val="-10"/>
          <w:sz w:val="32"/>
        </w:rPr>
        <w:t>所有市</w:t>
      </w:r>
      <w:r>
        <w:rPr>
          <w:sz w:val="32"/>
        </w:rPr>
        <w:t>（地</w:t>
      </w:r>
      <w:r>
        <w:rPr>
          <w:spacing w:val="-29"/>
          <w:sz w:val="32"/>
        </w:rPr>
        <w:t>）</w:t>
      </w:r>
      <w:r>
        <w:rPr>
          <w:spacing w:val="-8"/>
          <w:sz w:val="32"/>
        </w:rPr>
        <w:t>、县依托现有资源建设胸痛中心，形成急性</w:t>
      </w:r>
      <w:r>
        <w:rPr>
          <w:spacing w:val="4"/>
          <w:sz w:val="32"/>
        </w:rPr>
        <w:t>胸痛协同救治网络。继续推进医院卒中中心建设。强化培训、</w:t>
      </w:r>
      <w:r>
        <w:rPr>
          <w:spacing w:val="-2"/>
          <w:sz w:val="32"/>
        </w:rPr>
        <w:t>质量控制和督导考核，推广普及适宜技术。</w:t>
      </w:r>
      <w:r>
        <w:rPr>
          <w:rFonts w:hint="eastAsia" w:ascii="楷体" w:eastAsia="楷体"/>
          <w:sz w:val="32"/>
        </w:rPr>
        <w:t>（卫生健康委牵头， 发展改革委等按职责分工负责）</w:t>
      </w:r>
    </w:p>
    <w:p>
      <w:pPr>
        <w:pStyle w:val="10"/>
        <w:numPr>
          <w:ilvl w:val="0"/>
          <w:numId w:val="31"/>
        </w:numPr>
        <w:tabs>
          <w:tab w:val="left" w:pos="1052"/>
        </w:tabs>
        <w:spacing w:before="5" w:after="0" w:line="350" w:lineRule="auto"/>
        <w:ind w:left="171" w:right="270" w:firstLine="638"/>
        <w:jc w:val="left"/>
        <w:rPr>
          <w:rFonts w:hint="eastAsia" w:ascii="楷体" w:hAnsi="楷体" w:eastAsia="楷体"/>
          <w:sz w:val="32"/>
        </w:rPr>
      </w:pPr>
      <w:r>
        <w:rPr>
          <w:spacing w:val="-11"/>
          <w:sz w:val="32"/>
        </w:rPr>
        <w:t>强化脑卒中、胸痛诊疗相关院前急救设备设施配备，推进</w:t>
      </w:r>
      <w:r>
        <w:rPr>
          <w:spacing w:val="-14"/>
          <w:sz w:val="32"/>
        </w:rPr>
        <w:t>完善并发布脑卒中、胸痛</w:t>
      </w:r>
      <w:r>
        <w:rPr>
          <w:rFonts w:ascii="Times New Roman" w:hAnsi="Times New Roman" w:eastAsia="Times New Roman"/>
          <w:sz w:val="32"/>
        </w:rPr>
        <w:t>“</w:t>
      </w:r>
      <w:r>
        <w:rPr>
          <w:sz w:val="32"/>
        </w:rPr>
        <w:t>急救地图</w:t>
      </w:r>
      <w:r>
        <w:rPr>
          <w:rFonts w:ascii="Times New Roman" w:hAnsi="Times New Roman" w:eastAsia="Times New Roman"/>
          <w:sz w:val="32"/>
        </w:rPr>
        <w:t>”</w:t>
      </w:r>
      <w:r>
        <w:rPr>
          <w:spacing w:val="-12"/>
          <w:sz w:val="32"/>
        </w:rPr>
        <w:t>。建设医院急诊脑卒中、胸</w:t>
      </w:r>
      <w:r>
        <w:rPr>
          <w:spacing w:val="-10"/>
          <w:w w:val="95"/>
          <w:sz w:val="32"/>
        </w:rPr>
        <w:t xml:space="preserve">痛绿色通道，实现院前急救与院内急诊的互联互通和有效衔接， </w:t>
      </w:r>
      <w:r>
        <w:rPr>
          <w:spacing w:val="4"/>
          <w:sz w:val="32"/>
        </w:rPr>
        <w:t>提高救治效率。二级及以上医院卒中中心具备开展静脉溶栓的能力，脑卒中筛查与防治基地医院和三级医院卒中中心具备开展动脉取栓的能力。加强卒中中心与基层医疗卫生机构的协作</w:t>
      </w:r>
      <w:r>
        <w:rPr>
          <w:spacing w:val="-13"/>
          <w:sz w:val="32"/>
        </w:rPr>
        <w:t>联动，提高基层医疗卫生机构溶栓知识知晓率和应对能力。</w:t>
      </w:r>
      <w:r>
        <w:rPr>
          <w:rFonts w:hint="eastAsia" w:ascii="楷体" w:hAnsi="楷体" w:eastAsia="楷体"/>
          <w:sz w:val="32"/>
        </w:rPr>
        <w:t>（卫生健康委牵头，发展改革委、财政部按职责分工负责）</w:t>
      </w:r>
    </w:p>
    <w:p>
      <w:pPr>
        <w:pStyle w:val="2"/>
        <w:spacing w:before="11"/>
      </w:pPr>
      <w:bookmarkStart w:id="68" w:name="_TOC_250003"/>
      <w:bookmarkEnd w:id="68"/>
      <w:r>
        <w:t>（十二）癌症防治行动。</w:t>
      </w:r>
    </w:p>
    <w:p>
      <w:pPr>
        <w:pStyle w:val="3"/>
        <w:spacing w:before="190" w:line="350" w:lineRule="auto"/>
        <w:jc w:val="both"/>
      </w:pPr>
      <w:r>
        <w:t>癌症严重危害群众健康。《</w:t>
      </w:r>
      <w:r>
        <w:rPr>
          <w:rFonts w:ascii="Times New Roman" w:eastAsia="Times New Roman"/>
        </w:rPr>
        <w:t>2017</w:t>
      </w:r>
      <w:r>
        <w:rPr>
          <w:rFonts w:ascii="Times New Roman" w:eastAsia="Times New Roman"/>
          <w:spacing w:val="13"/>
        </w:rPr>
        <w:t xml:space="preserve"> </w:t>
      </w:r>
      <w:r>
        <w:t>年中国肿瘤登记年报》显</w:t>
      </w:r>
      <w:r>
        <w:rPr>
          <w:spacing w:val="-3"/>
        </w:rPr>
        <w:t xml:space="preserve">示，我国每年新发癌症病例约 </w:t>
      </w:r>
      <w:r>
        <w:rPr>
          <w:rFonts w:ascii="Times New Roman" w:eastAsia="Times New Roman"/>
        </w:rPr>
        <w:t xml:space="preserve">380 </w:t>
      </w:r>
      <w:r>
        <w:rPr>
          <w:spacing w:val="-7"/>
        </w:rPr>
        <w:t xml:space="preserve">万，死亡人数约 </w:t>
      </w:r>
      <w:r>
        <w:rPr>
          <w:rFonts w:ascii="Times New Roman" w:eastAsia="Times New Roman"/>
        </w:rPr>
        <w:t xml:space="preserve">229 </w:t>
      </w:r>
      <w:r>
        <w:t>万，发</w:t>
      </w:r>
      <w:r>
        <w:rPr>
          <w:spacing w:val="4"/>
          <w:w w:val="95"/>
        </w:rPr>
        <w:t xml:space="preserve">病率及死亡率呈现逐年上升趋势。随着我国人口老龄化和工业 化、城镇化进程不断加快，加之慢性感染、不健康生活方式的 广泛流行和环境污染、职业暴露等因素的逐渐累积，我国癌症 防控形势仍将十分严峻。国际经验表明，采取积极预防、早期 筛查、规范治疗等措施，对于降低癌症的发病率和死亡率具有 </w:t>
      </w:r>
      <w:r>
        <w:t>显著效果。</w:t>
      </w:r>
    </w:p>
    <w:p>
      <w:pPr>
        <w:spacing w:after="0" w:line="350" w:lineRule="auto"/>
        <w:jc w:val="both"/>
        <w:sectPr>
          <w:pgSz w:w="11910" w:h="16840"/>
          <w:pgMar w:top="1540" w:right="1140" w:bottom="1380" w:left="1400" w:header="0" w:footer="1200" w:gutter="0"/>
        </w:sectPr>
      </w:pPr>
    </w:p>
    <w:p>
      <w:pPr>
        <w:pStyle w:val="3"/>
        <w:ind w:left="810" w:right="0" w:firstLine="0"/>
        <w:rPr>
          <w:rFonts w:hint="eastAsia" w:ascii="黑体" w:eastAsia="黑体"/>
        </w:rPr>
      </w:pPr>
      <w:bookmarkStart w:id="69" w:name="行动目标："/>
      <w:bookmarkEnd w:id="69"/>
      <w:r>
        <w:rPr>
          <w:rFonts w:hint="eastAsia" w:ascii="黑体" w:eastAsia="黑体"/>
        </w:rPr>
        <w:t>行动目标：</w:t>
      </w:r>
    </w:p>
    <w:p>
      <w:pPr>
        <w:pStyle w:val="3"/>
        <w:spacing w:before="190"/>
        <w:ind w:left="0" w:firstLine="0"/>
        <w:jc w:val="right"/>
      </w:pPr>
      <w:bookmarkStart w:id="70" w:name="到2022年和2030年，总体癌症5年生存率分别不低于43.3%和46.6%；癌"/>
      <w:bookmarkEnd w:id="70"/>
      <w:r>
        <w:rPr>
          <w:spacing w:val="-31"/>
        </w:rPr>
        <w:t xml:space="preserve">到 </w:t>
      </w:r>
      <w:r>
        <w:rPr>
          <w:rFonts w:ascii="Times New Roman" w:eastAsia="Times New Roman"/>
        </w:rPr>
        <w:t>2022</w:t>
      </w:r>
      <w:r>
        <w:rPr>
          <w:rFonts w:ascii="Times New Roman" w:eastAsia="Times New Roman"/>
          <w:spacing w:val="18"/>
        </w:rPr>
        <w:t xml:space="preserve"> </w:t>
      </w:r>
      <w:r>
        <w:rPr>
          <w:spacing w:val="-13"/>
        </w:rPr>
        <w:t xml:space="preserve">年和 </w:t>
      </w:r>
      <w:r>
        <w:rPr>
          <w:rFonts w:ascii="Times New Roman" w:eastAsia="Times New Roman"/>
        </w:rPr>
        <w:t>2030</w:t>
      </w:r>
      <w:r>
        <w:rPr>
          <w:rFonts w:ascii="Times New Roman" w:eastAsia="Times New Roman"/>
          <w:spacing w:val="19"/>
        </w:rPr>
        <w:t xml:space="preserve"> </w:t>
      </w:r>
      <w:r>
        <w:rPr>
          <w:spacing w:val="6"/>
        </w:rPr>
        <w:t xml:space="preserve">年，总体癌症 </w:t>
      </w:r>
      <w:r>
        <w:rPr>
          <w:rFonts w:ascii="Times New Roman" w:eastAsia="Times New Roman"/>
        </w:rPr>
        <w:t>5</w:t>
      </w:r>
      <w:r>
        <w:rPr>
          <w:rFonts w:ascii="Times New Roman" w:eastAsia="Times New Roman"/>
          <w:spacing w:val="18"/>
        </w:rPr>
        <w:t xml:space="preserve"> </w:t>
      </w:r>
      <w:r>
        <w:rPr>
          <w:spacing w:val="18"/>
        </w:rPr>
        <w:t>年生存率分别不低于</w:t>
      </w:r>
    </w:p>
    <w:p>
      <w:pPr>
        <w:pStyle w:val="10"/>
        <w:numPr>
          <w:ilvl w:val="1"/>
          <w:numId w:val="32"/>
        </w:numPr>
        <w:tabs>
          <w:tab w:val="left" w:pos="560"/>
        </w:tabs>
        <w:spacing w:before="190" w:after="0" w:line="240" w:lineRule="auto"/>
        <w:ind w:left="731" w:right="429" w:hanging="732"/>
        <w:jc w:val="right"/>
        <w:rPr>
          <w:sz w:val="32"/>
        </w:rPr>
      </w:pPr>
      <w:r>
        <w:rPr>
          <w:rFonts w:ascii="Times New Roman" w:eastAsia="Times New Roman"/>
          <w:spacing w:val="15"/>
          <w:sz w:val="32"/>
        </w:rPr>
        <w:t>%</w:t>
      </w:r>
      <w:r>
        <w:rPr>
          <w:spacing w:val="-39"/>
          <w:sz w:val="32"/>
        </w:rPr>
        <w:t xml:space="preserve">和 </w:t>
      </w:r>
      <w:r>
        <w:rPr>
          <w:rFonts w:ascii="Times New Roman" w:eastAsia="Times New Roman"/>
          <w:spacing w:val="4"/>
          <w:sz w:val="32"/>
        </w:rPr>
        <w:t>46.6%</w:t>
      </w:r>
      <w:r>
        <w:rPr>
          <w:spacing w:val="5"/>
          <w:sz w:val="32"/>
        </w:rPr>
        <w:t xml:space="preserve">；癌症防治核心知识知晓率分别不低于 </w:t>
      </w:r>
      <w:r>
        <w:rPr>
          <w:rFonts w:ascii="Times New Roman" w:eastAsia="Times New Roman"/>
          <w:spacing w:val="4"/>
          <w:sz w:val="32"/>
        </w:rPr>
        <w:t>70%</w:t>
      </w:r>
      <w:r>
        <w:rPr>
          <w:sz w:val="32"/>
        </w:rPr>
        <w:t>和</w:t>
      </w:r>
    </w:p>
    <w:p>
      <w:pPr>
        <w:pStyle w:val="3"/>
        <w:spacing w:before="190" w:line="350" w:lineRule="auto"/>
        <w:ind w:firstLine="0"/>
      </w:pPr>
      <w:r>
        <w:rPr>
          <w:rFonts w:ascii="Times New Roman" w:eastAsia="Times New Roman"/>
        </w:rPr>
        <w:t>80%</w:t>
      </w:r>
      <w:r>
        <w:t xml:space="preserve">；高发地区重点癌种早诊率达到 </w:t>
      </w:r>
      <w:r>
        <w:rPr>
          <w:rFonts w:ascii="Times New Roman" w:eastAsia="Times New Roman"/>
        </w:rPr>
        <w:t>55%</w:t>
      </w:r>
      <w:r>
        <w:t>及以上并持续提高； 基本实现癌症高危人群定期参加防癌体检。</w:t>
      </w:r>
    </w:p>
    <w:p>
      <w:pPr>
        <w:pStyle w:val="2"/>
        <w:spacing w:before="3"/>
        <w:rPr>
          <w:rFonts w:hint="eastAsia" w:ascii="仿宋" w:hAnsi="仿宋" w:eastAsia="仿宋"/>
        </w:rPr>
      </w:pPr>
      <w:bookmarkStart w:id="71" w:name="——个人："/>
      <w:bookmarkEnd w:id="71"/>
      <w:r>
        <w:rPr>
          <w:rFonts w:ascii="Times New Roman" w:hAnsi="Times New Roman" w:eastAsia="Times New Roman"/>
        </w:rPr>
        <w:t>——</w:t>
      </w:r>
      <w:r>
        <w:rPr>
          <w:rFonts w:hint="eastAsia" w:ascii="仿宋" w:hAnsi="仿宋" w:eastAsia="仿宋"/>
        </w:rPr>
        <w:t>个人：</w:t>
      </w:r>
    </w:p>
    <w:p>
      <w:pPr>
        <w:pStyle w:val="10"/>
        <w:numPr>
          <w:ilvl w:val="2"/>
          <w:numId w:val="32"/>
        </w:numPr>
        <w:tabs>
          <w:tab w:val="left" w:pos="1052"/>
        </w:tabs>
        <w:spacing w:before="190" w:after="0" w:line="350" w:lineRule="auto"/>
        <w:ind w:left="171" w:right="314" w:firstLine="638"/>
        <w:jc w:val="left"/>
        <w:rPr>
          <w:sz w:val="32"/>
        </w:rPr>
      </w:pPr>
      <w:r>
        <w:rPr>
          <w:sz w:val="32"/>
        </w:rPr>
        <w:t>尽早关注癌症预防。癌症的发生是一个多因素、多阶段、</w:t>
      </w:r>
      <w:r>
        <w:rPr>
          <w:spacing w:val="4"/>
          <w:sz w:val="32"/>
        </w:rPr>
        <w:t>复杂渐进的过程，建议每个人尽早学习掌握《癌症防治核心信息及知识要点》，积极预防癌症发生。</w:t>
      </w:r>
    </w:p>
    <w:p>
      <w:pPr>
        <w:pStyle w:val="10"/>
        <w:numPr>
          <w:ilvl w:val="2"/>
          <w:numId w:val="32"/>
        </w:numPr>
        <w:tabs>
          <w:tab w:val="left" w:pos="1052"/>
        </w:tabs>
        <w:spacing w:before="4" w:after="0" w:line="350" w:lineRule="auto"/>
        <w:ind w:left="171" w:right="270" w:firstLine="638"/>
        <w:jc w:val="left"/>
        <w:rPr>
          <w:sz w:val="32"/>
        </w:rPr>
      </w:pPr>
      <w:r>
        <w:rPr>
          <w:spacing w:val="-9"/>
          <w:sz w:val="32"/>
        </w:rPr>
        <w:t>践行健康生活方式，戒烟限酒、平衡膳食、科学运动、心</w:t>
      </w:r>
      <w:r>
        <w:rPr>
          <w:spacing w:val="-11"/>
          <w:w w:val="95"/>
          <w:sz w:val="32"/>
        </w:rPr>
        <w:t xml:space="preserve">情舒畅可以有效降低癌症发生。如：戒烟可降低患肺癌的风险， </w:t>
      </w:r>
      <w:r>
        <w:rPr>
          <w:spacing w:val="-12"/>
          <w:w w:val="95"/>
          <w:sz w:val="32"/>
        </w:rPr>
        <w:t>合理饮食可减少结肠癌、乳腺癌、食管癌、肝癌和胃癌的发生。</w:t>
      </w:r>
    </w:p>
    <w:p>
      <w:pPr>
        <w:pStyle w:val="10"/>
        <w:numPr>
          <w:ilvl w:val="2"/>
          <w:numId w:val="32"/>
        </w:numPr>
        <w:tabs>
          <w:tab w:val="left" w:pos="1052"/>
        </w:tabs>
        <w:spacing w:before="4" w:after="0" w:line="350" w:lineRule="auto"/>
        <w:ind w:left="171" w:right="270" w:firstLine="638"/>
        <w:jc w:val="left"/>
        <w:rPr>
          <w:sz w:val="32"/>
        </w:rPr>
      </w:pPr>
      <w:r>
        <w:rPr>
          <w:spacing w:val="-10"/>
          <w:sz w:val="32"/>
        </w:rPr>
        <w:t>减少致癌相关感染。癌症是不传染的，但一些与癌症发生</w:t>
      </w:r>
      <w:r>
        <w:rPr>
          <w:spacing w:val="5"/>
          <w:sz w:val="32"/>
        </w:rPr>
        <w:t>密切相关的细菌</w:t>
      </w:r>
      <w:r>
        <w:rPr>
          <w:spacing w:val="7"/>
          <w:sz w:val="32"/>
        </w:rPr>
        <w:t>（</w:t>
      </w:r>
      <w:r>
        <w:rPr>
          <w:spacing w:val="5"/>
          <w:sz w:val="32"/>
        </w:rPr>
        <w:t>如幽门螺杆菌</w:t>
      </w:r>
      <w:r>
        <w:rPr>
          <w:spacing w:val="7"/>
          <w:sz w:val="32"/>
        </w:rPr>
        <w:t>）</w:t>
      </w:r>
      <w:r>
        <w:rPr>
          <w:spacing w:val="5"/>
          <w:sz w:val="32"/>
        </w:rPr>
        <w:t>、病毒（</w:t>
      </w:r>
      <w:r>
        <w:rPr>
          <w:spacing w:val="4"/>
          <w:sz w:val="32"/>
        </w:rPr>
        <w:t>如人乳头瘤病毒、</w:t>
      </w:r>
      <w:r>
        <w:rPr>
          <w:sz w:val="32"/>
        </w:rPr>
        <w:t>肝炎病毒、</w:t>
      </w:r>
      <w:r>
        <w:rPr>
          <w:rFonts w:ascii="Times New Roman" w:eastAsia="Times New Roman"/>
          <w:sz w:val="32"/>
        </w:rPr>
        <w:t>EB</w:t>
      </w:r>
      <w:r>
        <w:rPr>
          <w:rFonts w:ascii="Times New Roman" w:eastAsia="Times New Roman"/>
          <w:spacing w:val="-3"/>
          <w:sz w:val="32"/>
        </w:rPr>
        <w:t xml:space="preserve"> </w:t>
      </w:r>
      <w:r>
        <w:rPr>
          <w:sz w:val="32"/>
        </w:rPr>
        <w:t>病毒等</w:t>
      </w:r>
      <w:r>
        <w:rPr>
          <w:spacing w:val="-15"/>
          <w:sz w:val="32"/>
        </w:rPr>
        <w:t>）</w:t>
      </w:r>
      <w:r>
        <w:rPr>
          <w:spacing w:val="-3"/>
          <w:sz w:val="32"/>
        </w:rPr>
        <w:t>则是会传染的。通过保持个人卫生和健</w:t>
      </w:r>
      <w:r>
        <w:rPr>
          <w:spacing w:val="-6"/>
          <w:w w:val="95"/>
          <w:sz w:val="32"/>
        </w:rPr>
        <w:t>康生活方式、接种疫苗</w:t>
      </w:r>
      <w:r>
        <w:rPr>
          <w:w w:val="95"/>
          <w:sz w:val="32"/>
        </w:rPr>
        <w:t>（</w:t>
      </w:r>
      <w:r>
        <w:rPr>
          <w:spacing w:val="-2"/>
          <w:w w:val="95"/>
          <w:sz w:val="32"/>
        </w:rPr>
        <w:t>如肝炎病毒疫苗、人乳头瘤病毒疫苗</w:t>
      </w:r>
      <w:r>
        <w:rPr>
          <w:w w:val="95"/>
          <w:sz w:val="32"/>
        </w:rPr>
        <w:t xml:space="preserve">） </w:t>
      </w:r>
      <w:r>
        <w:rPr>
          <w:sz w:val="32"/>
        </w:rPr>
        <w:t>可以避免感染相关的细菌和病毒，从而预防癌症的发生。</w:t>
      </w:r>
    </w:p>
    <w:p>
      <w:pPr>
        <w:pStyle w:val="10"/>
        <w:numPr>
          <w:ilvl w:val="2"/>
          <w:numId w:val="32"/>
        </w:numPr>
        <w:tabs>
          <w:tab w:val="left" w:pos="1052"/>
        </w:tabs>
        <w:spacing w:before="7" w:after="0" w:line="350" w:lineRule="auto"/>
        <w:ind w:left="171" w:right="427" w:firstLine="638"/>
        <w:jc w:val="both"/>
        <w:rPr>
          <w:sz w:val="32"/>
        </w:rPr>
      </w:pPr>
      <w:r>
        <w:rPr>
          <w:spacing w:val="-11"/>
          <w:sz w:val="32"/>
        </w:rPr>
        <w:t>定期防癌体检。规范的防癌体检是发现癌症和癌前病变的</w:t>
      </w:r>
      <w:r>
        <w:rPr>
          <w:spacing w:val="4"/>
          <w:w w:val="95"/>
          <w:sz w:val="32"/>
        </w:rPr>
        <w:t xml:space="preserve">重要途径。目前的技术手段可以早期发现大部分的常见癌症， </w:t>
      </w:r>
      <w:r>
        <w:rPr>
          <w:sz w:val="32"/>
        </w:rPr>
        <w:t>如使用胃肠镜可以发现消化道癌，采用醋酸染色肉眼观察</w:t>
      </w:r>
      <w:r>
        <w:rPr>
          <w:rFonts w:ascii="Times New Roman" w:eastAsia="Times New Roman"/>
          <w:sz w:val="32"/>
        </w:rPr>
        <w:t>/</w:t>
      </w:r>
      <w:r>
        <w:rPr>
          <w:sz w:val="32"/>
        </w:rPr>
        <w:t>碘染</w:t>
      </w:r>
      <w:r>
        <w:rPr>
          <w:spacing w:val="5"/>
          <w:sz w:val="32"/>
        </w:rPr>
        <w:t>色肉眼观察</w:t>
      </w:r>
      <w:r>
        <w:rPr>
          <w:sz w:val="32"/>
        </w:rPr>
        <w:t>（</w:t>
      </w:r>
      <w:r>
        <w:rPr>
          <w:rFonts w:ascii="Times New Roman" w:eastAsia="Times New Roman"/>
          <w:sz w:val="32"/>
        </w:rPr>
        <w:t>VIA/VILI</w:t>
      </w:r>
      <w:r>
        <w:rPr>
          <w:sz w:val="32"/>
        </w:rPr>
        <w:t>）</w:t>
      </w:r>
      <w:r>
        <w:rPr>
          <w:spacing w:val="4"/>
          <w:sz w:val="32"/>
        </w:rPr>
        <w:t>、宫颈脱落细胞学检查或高危型人乳</w:t>
      </w:r>
      <w:r>
        <w:rPr>
          <w:spacing w:val="-1"/>
          <w:sz w:val="32"/>
        </w:rPr>
        <w:t>头瘤病毒</w:t>
      </w:r>
      <w:r>
        <w:rPr>
          <w:sz w:val="32"/>
        </w:rPr>
        <w:t>（</w:t>
      </w:r>
      <w:r>
        <w:rPr>
          <w:rFonts w:ascii="Times New Roman" w:eastAsia="Times New Roman"/>
          <w:sz w:val="32"/>
        </w:rPr>
        <w:t>HPV</w:t>
      </w:r>
      <w:r>
        <w:rPr>
          <w:sz w:val="32"/>
        </w:rPr>
        <w:t>）</w:t>
      </w:r>
      <w:r>
        <w:rPr>
          <w:rFonts w:ascii="Times New Roman" w:eastAsia="Times New Roman"/>
          <w:sz w:val="32"/>
        </w:rPr>
        <w:t>DNA</w:t>
      </w:r>
      <w:r>
        <w:rPr>
          <w:rFonts w:ascii="Times New Roman" w:eastAsia="Times New Roman"/>
          <w:spacing w:val="-9"/>
          <w:sz w:val="32"/>
        </w:rPr>
        <w:t xml:space="preserve"> </w:t>
      </w:r>
      <w:r>
        <w:rPr>
          <w:spacing w:val="-2"/>
          <w:sz w:val="32"/>
        </w:rPr>
        <w:t>检测，可以发现宫颈癌，胸部低剂量螺</w:t>
      </w:r>
      <w:r>
        <w:rPr>
          <w:spacing w:val="3"/>
          <w:sz w:val="32"/>
        </w:rPr>
        <w:t xml:space="preserve">旋 </w:t>
      </w:r>
      <w:r>
        <w:rPr>
          <w:rFonts w:ascii="Times New Roman" w:eastAsia="Times New Roman"/>
          <w:sz w:val="32"/>
        </w:rPr>
        <w:t>CT</w:t>
      </w:r>
      <w:r>
        <w:rPr>
          <w:rFonts w:ascii="Times New Roman" w:eastAsia="Times New Roman"/>
          <w:spacing w:val="9"/>
          <w:sz w:val="32"/>
        </w:rPr>
        <w:t xml:space="preserve"> </w:t>
      </w:r>
      <w:r>
        <w:rPr>
          <w:sz w:val="32"/>
        </w:rPr>
        <w:t>可以发现肺癌，超声结合钼靶可以发现乳腺癌。建议高</w:t>
      </w:r>
    </w:p>
    <w:p>
      <w:pPr>
        <w:spacing w:after="0" w:line="350" w:lineRule="auto"/>
        <w:jc w:val="both"/>
        <w:rPr>
          <w:sz w:val="32"/>
        </w:rPr>
        <w:sectPr>
          <w:pgSz w:w="11910" w:h="16840"/>
          <w:pgMar w:top="1540" w:right="1140" w:bottom="1380" w:left="1400" w:header="0" w:footer="1200" w:gutter="0"/>
        </w:sectPr>
      </w:pPr>
    </w:p>
    <w:p>
      <w:pPr>
        <w:pStyle w:val="3"/>
        <w:spacing w:line="350" w:lineRule="auto"/>
        <w:ind w:right="202" w:firstLine="0"/>
      </w:pPr>
      <w:r>
        <w:rPr>
          <w:w w:val="95"/>
        </w:rPr>
        <w:t xml:space="preserve">危人群选择专业的体检机构进行定期防癌体检，根据个体年龄、 </w:t>
      </w:r>
      <w:r>
        <w:t>既往检查结果等选择合适的体检间隔时间。</w:t>
      </w:r>
    </w:p>
    <w:p>
      <w:pPr>
        <w:pStyle w:val="10"/>
        <w:numPr>
          <w:ilvl w:val="2"/>
          <w:numId w:val="32"/>
        </w:numPr>
        <w:tabs>
          <w:tab w:val="left" w:pos="1052"/>
        </w:tabs>
        <w:spacing w:before="3" w:after="0" w:line="350" w:lineRule="auto"/>
        <w:ind w:left="171" w:right="429" w:firstLine="638"/>
        <w:jc w:val="both"/>
        <w:rPr>
          <w:sz w:val="32"/>
        </w:rPr>
      </w:pPr>
      <w:r>
        <w:rPr>
          <w:spacing w:val="-10"/>
          <w:sz w:val="32"/>
        </w:rPr>
        <w:t>密切关注癌症危险信号。如：身体浅表部位出现的异常肿</w:t>
      </w:r>
      <w:r>
        <w:rPr>
          <w:spacing w:val="4"/>
          <w:w w:val="95"/>
          <w:sz w:val="32"/>
        </w:rPr>
        <w:t xml:space="preserve">块；体表黑痣和疣等在短期内色泽加深或迅速增大；身体出现 哽咽感、疼痛等异常感觉；皮肤或黏膜出现经久不愈的溃疡； 持续性消化不良和食欲减退；大便习惯及性状改变或带血；持 久性声音嘶哑、干咳、痰中带血；听力异常，流鼻血，头痛； 阴道异常出血，特别是接触性出血；无痛性血尿，排尿不畅； 不明原因的发热、乏力、进行性体重减轻等。出现上述症状时 </w:t>
      </w:r>
      <w:r>
        <w:rPr>
          <w:sz w:val="32"/>
        </w:rPr>
        <w:t>建议及时就医。</w:t>
      </w:r>
    </w:p>
    <w:p>
      <w:pPr>
        <w:pStyle w:val="10"/>
        <w:numPr>
          <w:ilvl w:val="2"/>
          <w:numId w:val="32"/>
        </w:numPr>
        <w:tabs>
          <w:tab w:val="left" w:pos="1052"/>
        </w:tabs>
        <w:spacing w:before="11" w:after="0" w:line="350" w:lineRule="auto"/>
        <w:ind w:left="171" w:right="314" w:firstLine="638"/>
        <w:jc w:val="left"/>
        <w:rPr>
          <w:sz w:val="32"/>
        </w:rPr>
      </w:pPr>
      <w:r>
        <w:rPr>
          <w:sz w:val="32"/>
        </w:rPr>
        <w:t>接受规范治疗。癌症患者要到正规医院进行规范化治疗， 不要轻信偏方或虚假广告，以免贻误治疗时机。</w:t>
      </w:r>
    </w:p>
    <w:p>
      <w:pPr>
        <w:pStyle w:val="10"/>
        <w:numPr>
          <w:ilvl w:val="2"/>
          <w:numId w:val="32"/>
        </w:numPr>
        <w:tabs>
          <w:tab w:val="left" w:pos="1052"/>
        </w:tabs>
        <w:spacing w:before="2" w:after="0" w:line="350" w:lineRule="auto"/>
        <w:ind w:left="171" w:right="429" w:firstLine="638"/>
        <w:jc w:val="both"/>
        <w:rPr>
          <w:sz w:val="32"/>
        </w:rPr>
      </w:pPr>
      <w:r>
        <w:rPr>
          <w:spacing w:val="-11"/>
          <w:w w:val="95"/>
          <w:sz w:val="32"/>
        </w:rPr>
        <w:t xml:space="preserve">重视康复治疗。要正视癌症，积极调整身体免疫力，保持 </w:t>
      </w:r>
      <w:r>
        <w:rPr>
          <w:spacing w:val="4"/>
          <w:w w:val="95"/>
          <w:sz w:val="32"/>
        </w:rPr>
        <w:t xml:space="preserve">良好心理状态，达到病情长期稳定。疼痛是癌症患者最常见、 最主要的症状，可以在医生帮助下通过科学的止痛方法积极处 </w:t>
      </w:r>
      <w:r>
        <w:rPr>
          <w:sz w:val="32"/>
        </w:rPr>
        <w:t>理疼痛。</w:t>
      </w:r>
    </w:p>
    <w:p>
      <w:pPr>
        <w:pStyle w:val="10"/>
        <w:numPr>
          <w:ilvl w:val="2"/>
          <w:numId w:val="32"/>
        </w:numPr>
        <w:tabs>
          <w:tab w:val="left" w:pos="1052"/>
        </w:tabs>
        <w:spacing w:before="6" w:after="0" w:line="350" w:lineRule="auto"/>
        <w:ind w:left="171" w:right="429" w:firstLine="638"/>
        <w:jc w:val="both"/>
        <w:rPr>
          <w:sz w:val="32"/>
        </w:rPr>
      </w:pPr>
      <w:r>
        <w:rPr>
          <w:spacing w:val="-11"/>
          <w:sz w:val="32"/>
        </w:rPr>
        <w:t>合理膳食营养。癌症患者的食物摄入可参考《恶性肿瘤患</w:t>
      </w:r>
      <w:r>
        <w:rPr>
          <w:spacing w:val="4"/>
          <w:w w:val="95"/>
          <w:sz w:val="32"/>
        </w:rPr>
        <w:t>者膳食指导》。保持每天适量的谷类食物、豆制品、蔬菜和水 果摄入。在胃肠道功能正常的情况下，注意粗细搭配，适当多 吃鱼、禽肉、蛋类，减少红肉摄入，对于胃肠道损伤患者，推 荐制作软烂细碎的动物性食品。在抗肿瘤治疗期和康复期膳食 摄入不足，且在经膳食指导仍不能满足目标需要量时，可积极</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pPr>
      <w:r>
        <w:rPr>
          <w:spacing w:val="5"/>
          <w:w w:val="95"/>
        </w:rPr>
        <w:t>接受肠内、肠外营养支持治疗。不吃霉变食物，限制烧烤（</w:t>
      </w:r>
      <w:r>
        <w:rPr>
          <w:spacing w:val="-14"/>
          <w:w w:val="95"/>
        </w:rPr>
        <w:t xml:space="preserve">火 </w:t>
      </w:r>
      <w:r>
        <w:t>烧、炭烧）、腌制和煎炸的动物性食物的摄入。</w:t>
      </w:r>
    </w:p>
    <w:p>
      <w:pPr>
        <w:pStyle w:val="2"/>
        <w:spacing w:before="3"/>
        <w:rPr>
          <w:rFonts w:hint="eastAsia" w:ascii="仿宋" w:hAnsi="仿宋" w:eastAsia="仿宋"/>
        </w:rPr>
      </w:pPr>
      <w:bookmarkStart w:id="72" w:name="——社会和政府："/>
      <w:bookmarkEnd w:id="72"/>
      <w:r>
        <w:rPr>
          <w:rFonts w:ascii="Times New Roman" w:hAnsi="Times New Roman" w:eastAsia="Times New Roman"/>
        </w:rPr>
        <w:t>——</w:t>
      </w:r>
      <w:r>
        <w:rPr>
          <w:rFonts w:hint="eastAsia" w:ascii="仿宋" w:hAnsi="仿宋" w:eastAsia="仿宋"/>
        </w:rPr>
        <w:t>社会和政府：</w:t>
      </w:r>
    </w:p>
    <w:p>
      <w:pPr>
        <w:pStyle w:val="10"/>
        <w:numPr>
          <w:ilvl w:val="0"/>
          <w:numId w:val="33"/>
        </w:numPr>
        <w:tabs>
          <w:tab w:val="left" w:pos="1052"/>
        </w:tabs>
        <w:spacing w:before="190" w:after="0" w:line="350" w:lineRule="auto"/>
        <w:ind w:left="171" w:right="429" w:firstLine="638"/>
        <w:jc w:val="both"/>
        <w:rPr>
          <w:rFonts w:hint="eastAsia" w:ascii="楷体" w:eastAsia="楷体"/>
          <w:sz w:val="32"/>
        </w:rPr>
      </w:pPr>
      <w:r>
        <w:rPr>
          <w:spacing w:val="-11"/>
          <w:w w:val="95"/>
          <w:sz w:val="32"/>
        </w:rPr>
        <w:t xml:space="preserve">对发病率高、筛查手段和技术方案比较成熟的胃癌、食管 </w:t>
      </w:r>
      <w:r>
        <w:rPr>
          <w:spacing w:val="4"/>
          <w:w w:val="95"/>
          <w:sz w:val="32"/>
        </w:rPr>
        <w:t xml:space="preserve">癌、结直肠癌、肺癌、宫颈癌、乳腺癌等重点癌症，制定筛查 与早诊早治指南。各地根据本地区癌症流行状况，创造条件普 </w:t>
      </w:r>
      <w:r>
        <w:rPr>
          <w:spacing w:val="5"/>
          <w:w w:val="95"/>
          <w:sz w:val="32"/>
        </w:rPr>
        <w:t>遍开展癌症机会性筛查。</w:t>
      </w:r>
      <w:r>
        <w:rPr>
          <w:rFonts w:hint="eastAsia" w:ascii="楷体" w:eastAsia="楷体"/>
          <w:spacing w:val="5"/>
          <w:w w:val="95"/>
          <w:sz w:val="32"/>
        </w:rPr>
        <w:t>（</w:t>
      </w:r>
      <w:r>
        <w:rPr>
          <w:rFonts w:hint="eastAsia" w:ascii="楷体" w:eastAsia="楷体"/>
          <w:spacing w:val="3"/>
          <w:w w:val="95"/>
          <w:sz w:val="32"/>
        </w:rPr>
        <w:t xml:space="preserve">卫生健康委牵头，财政部按职责负 </w:t>
      </w:r>
      <w:r>
        <w:rPr>
          <w:rFonts w:hint="eastAsia" w:ascii="楷体" w:eastAsia="楷体"/>
          <w:sz w:val="32"/>
        </w:rPr>
        <w:t>责）</w:t>
      </w:r>
    </w:p>
    <w:p>
      <w:pPr>
        <w:pStyle w:val="10"/>
        <w:numPr>
          <w:ilvl w:val="0"/>
          <w:numId w:val="33"/>
        </w:numPr>
        <w:tabs>
          <w:tab w:val="left" w:pos="1052"/>
        </w:tabs>
        <w:spacing w:before="6" w:after="0" w:line="350" w:lineRule="auto"/>
        <w:ind w:left="171" w:right="429" w:firstLine="638"/>
        <w:jc w:val="both"/>
        <w:rPr>
          <w:rFonts w:hint="eastAsia" w:ascii="楷体" w:eastAsia="楷体"/>
          <w:sz w:val="32"/>
        </w:rPr>
      </w:pPr>
      <w:r>
        <w:rPr>
          <w:spacing w:val="-9"/>
          <w:sz w:val="32"/>
        </w:rPr>
        <w:t>制定工作场所防癌抗癌指南，开展工作场所致癌职业病危</w:t>
      </w:r>
      <w:r>
        <w:rPr>
          <w:spacing w:val="5"/>
          <w:w w:val="95"/>
          <w:sz w:val="32"/>
        </w:rPr>
        <w:t>害因素的定期检测、评价和个体防护管理工作。</w:t>
      </w:r>
      <w:r>
        <w:rPr>
          <w:rFonts w:hint="eastAsia" w:ascii="楷体" w:eastAsia="楷体"/>
          <w:spacing w:val="5"/>
          <w:w w:val="95"/>
          <w:sz w:val="32"/>
        </w:rPr>
        <w:t>（</w:t>
      </w:r>
      <w:r>
        <w:rPr>
          <w:rFonts w:hint="eastAsia" w:ascii="楷体" w:eastAsia="楷体"/>
          <w:spacing w:val="1"/>
          <w:w w:val="95"/>
          <w:sz w:val="32"/>
        </w:rPr>
        <w:t xml:space="preserve">卫生健康委 </w:t>
      </w:r>
      <w:r>
        <w:rPr>
          <w:rFonts w:hint="eastAsia" w:ascii="楷体" w:eastAsia="楷体"/>
          <w:sz w:val="32"/>
        </w:rPr>
        <w:t>牵头，全国总工会按职责负责）</w:t>
      </w:r>
    </w:p>
    <w:p>
      <w:pPr>
        <w:pStyle w:val="10"/>
        <w:numPr>
          <w:ilvl w:val="0"/>
          <w:numId w:val="33"/>
        </w:numPr>
        <w:tabs>
          <w:tab w:val="left" w:pos="1052"/>
        </w:tabs>
        <w:spacing w:before="5" w:after="0" w:line="350" w:lineRule="auto"/>
        <w:ind w:left="171" w:right="429" w:firstLine="638"/>
        <w:jc w:val="both"/>
        <w:rPr>
          <w:rFonts w:hint="eastAsia" w:ascii="楷体" w:eastAsia="楷体"/>
          <w:sz w:val="32"/>
        </w:rPr>
      </w:pPr>
      <w:r>
        <w:rPr>
          <w:spacing w:val="-6"/>
          <w:sz w:val="32"/>
        </w:rPr>
        <w:t>制定并推广应用常见癌症诊疗规范和临床路径，创新中医</w:t>
      </w:r>
      <w:r>
        <w:rPr>
          <w:spacing w:val="4"/>
          <w:w w:val="95"/>
          <w:sz w:val="32"/>
        </w:rPr>
        <w:t xml:space="preserve">药与现代技术相结合的中医癌症诊疗模式，提高临床疗效。做 好患者康复指导、疼痛管理、长期护理、营养和心理支持，提 高癌症患者生存质量。重视对癌症晚期患者的管理，推进安宁 </w:t>
      </w:r>
      <w:r>
        <w:rPr>
          <w:spacing w:val="5"/>
          <w:w w:val="95"/>
          <w:sz w:val="32"/>
        </w:rPr>
        <w:t>疗护试点工作。</w:t>
      </w:r>
      <w:r>
        <w:rPr>
          <w:rFonts w:hint="eastAsia" w:ascii="楷体" w:eastAsia="楷体"/>
          <w:spacing w:val="5"/>
          <w:w w:val="95"/>
          <w:sz w:val="32"/>
        </w:rPr>
        <w:t>（</w:t>
      </w:r>
      <w:r>
        <w:rPr>
          <w:rFonts w:hint="eastAsia" w:ascii="楷体" w:eastAsia="楷体"/>
          <w:spacing w:val="4"/>
          <w:w w:val="95"/>
          <w:sz w:val="32"/>
        </w:rPr>
        <w:t xml:space="preserve">卫生健康委、中医药局牵头，科技部、民政 </w:t>
      </w:r>
      <w:r>
        <w:rPr>
          <w:rFonts w:hint="eastAsia" w:ascii="楷体" w:eastAsia="楷体"/>
          <w:sz w:val="32"/>
        </w:rPr>
        <w:t>部按职责分工负责）</w:t>
      </w:r>
    </w:p>
    <w:p>
      <w:pPr>
        <w:pStyle w:val="10"/>
        <w:numPr>
          <w:ilvl w:val="0"/>
          <w:numId w:val="33"/>
        </w:numPr>
        <w:tabs>
          <w:tab w:val="left" w:pos="1052"/>
        </w:tabs>
        <w:spacing w:before="8" w:after="0" w:line="350" w:lineRule="auto"/>
        <w:ind w:left="171" w:right="427" w:firstLine="638"/>
        <w:jc w:val="both"/>
        <w:rPr>
          <w:rFonts w:hint="eastAsia" w:ascii="楷体" w:eastAsia="楷体"/>
          <w:sz w:val="32"/>
        </w:rPr>
      </w:pPr>
      <w:r>
        <w:rPr>
          <w:spacing w:val="-10"/>
          <w:sz w:val="32"/>
        </w:rPr>
        <w:t>开展癌症筛查、诊断、手术、化疗、放疗、介入等诊疗技</w:t>
      </w:r>
      <w:r>
        <w:rPr>
          <w:spacing w:val="4"/>
          <w:w w:val="95"/>
          <w:sz w:val="32"/>
        </w:rPr>
        <w:t xml:space="preserve">术人员培训。推进诊疗新技术应用及管理。通过疑难病症诊治 能力提升工程，加强中西部地区及基层能力，提高癌症防治同 </w:t>
      </w:r>
      <w:r>
        <w:rPr>
          <w:spacing w:val="5"/>
          <w:w w:val="95"/>
          <w:sz w:val="32"/>
        </w:rPr>
        <w:t>质化水平。</w:t>
      </w:r>
      <w:r>
        <w:rPr>
          <w:rFonts w:hint="eastAsia" w:ascii="楷体" w:eastAsia="楷体"/>
          <w:spacing w:val="5"/>
          <w:w w:val="95"/>
          <w:sz w:val="32"/>
        </w:rPr>
        <w:t>（</w:t>
      </w:r>
      <w:r>
        <w:rPr>
          <w:rFonts w:hint="eastAsia" w:ascii="楷体" w:eastAsia="楷体"/>
          <w:spacing w:val="4"/>
          <w:w w:val="95"/>
          <w:sz w:val="32"/>
        </w:rPr>
        <w:t xml:space="preserve">卫生健康委牵头，发展改革委、财政部按职责分 </w:t>
      </w:r>
      <w:r>
        <w:rPr>
          <w:rFonts w:hint="eastAsia" w:ascii="楷体" w:eastAsia="楷体"/>
          <w:sz w:val="32"/>
        </w:rPr>
        <w:t>工负责）</w:t>
      </w:r>
    </w:p>
    <w:p>
      <w:pPr>
        <w:spacing w:after="0" w:line="350" w:lineRule="auto"/>
        <w:jc w:val="both"/>
        <w:rPr>
          <w:rFonts w:hint="eastAsia" w:ascii="楷体" w:eastAsia="楷体"/>
          <w:sz w:val="32"/>
        </w:rPr>
        <w:sectPr>
          <w:footerReference r:id="rId12" w:type="default"/>
          <w:pgSz w:w="11910" w:h="16840"/>
          <w:pgMar w:top="1540" w:right="1140" w:bottom="1380" w:left="1400" w:header="0" w:footer="1200" w:gutter="0"/>
          <w:pgNumType w:start="90"/>
        </w:sectPr>
      </w:pPr>
    </w:p>
    <w:p>
      <w:pPr>
        <w:pStyle w:val="10"/>
        <w:numPr>
          <w:ilvl w:val="0"/>
          <w:numId w:val="33"/>
        </w:numPr>
        <w:tabs>
          <w:tab w:val="left" w:pos="1052"/>
        </w:tabs>
        <w:spacing w:before="43" w:after="0" w:line="350" w:lineRule="auto"/>
        <w:ind w:left="171" w:right="429" w:firstLine="638"/>
        <w:jc w:val="both"/>
        <w:rPr>
          <w:rFonts w:hint="eastAsia" w:ascii="楷体" w:eastAsia="楷体"/>
          <w:sz w:val="32"/>
        </w:rPr>
      </w:pPr>
      <w:r>
        <w:rPr>
          <w:spacing w:val="-9"/>
          <w:w w:val="95"/>
          <w:sz w:val="32"/>
        </w:rPr>
        <w:t xml:space="preserve">促进基本医疗保险、大病保险、医疗救助、应急救助、商 </w:t>
      </w:r>
      <w:r>
        <w:rPr>
          <w:spacing w:val="4"/>
          <w:w w:val="95"/>
          <w:sz w:val="32"/>
        </w:rPr>
        <w:t xml:space="preserve">业健康保险及慈善救助等制度间的互补联动和有效衔接，形成 </w:t>
      </w:r>
      <w:r>
        <w:rPr>
          <w:spacing w:val="5"/>
          <w:w w:val="95"/>
          <w:sz w:val="32"/>
        </w:rPr>
        <w:t>保障合力，切实降低癌症患者就医负担。</w:t>
      </w:r>
      <w:r>
        <w:rPr>
          <w:rFonts w:hint="eastAsia" w:ascii="楷体" w:eastAsia="楷体"/>
          <w:spacing w:val="5"/>
          <w:w w:val="95"/>
          <w:sz w:val="32"/>
        </w:rPr>
        <w:t>（</w:t>
      </w:r>
      <w:r>
        <w:rPr>
          <w:rFonts w:hint="eastAsia" w:ascii="楷体" w:eastAsia="楷体"/>
          <w:spacing w:val="2"/>
          <w:w w:val="95"/>
          <w:sz w:val="32"/>
        </w:rPr>
        <w:t xml:space="preserve">民政部、卫生健康 </w:t>
      </w:r>
      <w:r>
        <w:rPr>
          <w:rFonts w:hint="eastAsia" w:ascii="楷体" w:eastAsia="楷体"/>
          <w:sz w:val="32"/>
        </w:rPr>
        <w:t>委、医保局、银保监会按职责分工负责）</w:t>
      </w:r>
    </w:p>
    <w:p>
      <w:pPr>
        <w:pStyle w:val="10"/>
        <w:numPr>
          <w:ilvl w:val="0"/>
          <w:numId w:val="33"/>
        </w:numPr>
        <w:tabs>
          <w:tab w:val="left" w:pos="1052"/>
        </w:tabs>
        <w:spacing w:before="5" w:after="0" w:line="350" w:lineRule="auto"/>
        <w:ind w:left="171" w:right="429" w:firstLine="638"/>
        <w:jc w:val="both"/>
        <w:rPr>
          <w:rFonts w:hint="eastAsia" w:ascii="楷体" w:eastAsia="楷体"/>
          <w:sz w:val="32"/>
        </w:rPr>
      </w:pPr>
      <w:r>
        <w:rPr>
          <w:spacing w:val="-7"/>
          <w:sz w:val="32"/>
        </w:rPr>
        <w:t>建立完善抗癌药物临床综合评价体系，针对临床急需的抗</w:t>
      </w:r>
      <w:r>
        <w:rPr>
          <w:spacing w:val="4"/>
          <w:w w:val="95"/>
          <w:sz w:val="32"/>
        </w:rPr>
        <w:t>癌药物，加快审评审批流程。完善医保目录动态调整机制，按 规定将符合条件的抗癌药物纳入医保目录。</w:t>
      </w:r>
      <w:r>
        <w:rPr>
          <w:rFonts w:hint="eastAsia" w:ascii="楷体" w:eastAsia="楷体"/>
          <w:spacing w:val="5"/>
          <w:w w:val="95"/>
          <w:sz w:val="32"/>
        </w:rPr>
        <w:t>（</w:t>
      </w:r>
      <w:r>
        <w:rPr>
          <w:rFonts w:hint="eastAsia" w:ascii="楷体" w:eastAsia="楷体"/>
          <w:spacing w:val="2"/>
          <w:w w:val="95"/>
          <w:sz w:val="32"/>
        </w:rPr>
        <w:t xml:space="preserve">财政部、卫生健 </w:t>
      </w:r>
      <w:r>
        <w:rPr>
          <w:rFonts w:hint="eastAsia" w:ascii="楷体" w:eastAsia="楷体"/>
          <w:sz w:val="32"/>
        </w:rPr>
        <w:t>康委、医保局、药监局按职责分工负责）</w:t>
      </w:r>
    </w:p>
    <w:p>
      <w:pPr>
        <w:pStyle w:val="10"/>
        <w:numPr>
          <w:ilvl w:val="0"/>
          <w:numId w:val="33"/>
        </w:numPr>
        <w:tabs>
          <w:tab w:val="left" w:pos="1052"/>
        </w:tabs>
        <w:spacing w:before="6" w:after="0" w:line="350" w:lineRule="auto"/>
        <w:ind w:left="171" w:right="429" w:firstLine="638"/>
        <w:jc w:val="both"/>
        <w:rPr>
          <w:rFonts w:hint="eastAsia" w:ascii="楷体" w:eastAsia="楷体"/>
          <w:sz w:val="32"/>
        </w:rPr>
      </w:pPr>
      <w:r>
        <w:rPr>
          <w:spacing w:val="-9"/>
          <w:sz w:val="32"/>
        </w:rPr>
        <w:t>加强农村贫困人口癌症筛查，继续开展农村贫困人口大病</w:t>
      </w:r>
      <w:r>
        <w:rPr>
          <w:spacing w:val="4"/>
          <w:w w:val="95"/>
          <w:sz w:val="32"/>
        </w:rPr>
        <w:t xml:space="preserve">专项救治，针对农村特困人员和低保对象开展食管癌、胃癌、 结肠癌、直肠癌、宫颈癌、乳腺癌和肺癌等重点癌症的集中救 </w:t>
      </w:r>
      <w:r>
        <w:rPr>
          <w:spacing w:val="5"/>
          <w:w w:val="95"/>
          <w:sz w:val="32"/>
        </w:rPr>
        <w:t>治。</w:t>
      </w:r>
      <w:r>
        <w:rPr>
          <w:rFonts w:hint="eastAsia" w:ascii="楷体" w:eastAsia="楷体"/>
          <w:spacing w:val="5"/>
          <w:w w:val="95"/>
          <w:sz w:val="32"/>
        </w:rPr>
        <w:t>（</w:t>
      </w:r>
      <w:r>
        <w:rPr>
          <w:rFonts w:hint="eastAsia" w:ascii="楷体" w:eastAsia="楷体"/>
          <w:spacing w:val="4"/>
          <w:w w:val="95"/>
          <w:sz w:val="32"/>
        </w:rPr>
        <w:t xml:space="preserve">卫生健康委牵头，民政部、医保局、国务院扶贫办按职 </w:t>
      </w:r>
      <w:r>
        <w:rPr>
          <w:rFonts w:hint="eastAsia" w:ascii="楷体" w:eastAsia="楷体"/>
          <w:sz w:val="32"/>
        </w:rPr>
        <w:t>责分工负责）</w:t>
      </w:r>
    </w:p>
    <w:p>
      <w:pPr>
        <w:pStyle w:val="10"/>
        <w:numPr>
          <w:ilvl w:val="0"/>
          <w:numId w:val="33"/>
        </w:numPr>
        <w:tabs>
          <w:tab w:val="left" w:pos="1052"/>
        </w:tabs>
        <w:spacing w:before="7" w:after="0" w:line="350" w:lineRule="auto"/>
        <w:ind w:left="171" w:right="429" w:firstLine="638"/>
        <w:jc w:val="both"/>
        <w:rPr>
          <w:rFonts w:hint="eastAsia" w:ascii="楷体" w:eastAsia="楷体"/>
          <w:sz w:val="32"/>
        </w:rPr>
      </w:pPr>
      <w:r>
        <w:rPr>
          <w:spacing w:val="-8"/>
          <w:sz w:val="32"/>
        </w:rPr>
        <w:t>健全死因监测和肿瘤登记报告制度，所有县区开展死因监</w:t>
      </w:r>
      <w:r>
        <w:rPr>
          <w:spacing w:val="4"/>
          <w:w w:val="95"/>
          <w:sz w:val="32"/>
        </w:rPr>
        <w:t xml:space="preserve">测和肿瘤登记工作，定期发布国家和省级肿瘤登记报告。搭建 国家癌症大数据平台，建成覆盖全国的癌症病例登记系统，开 </w:t>
      </w:r>
      <w:r>
        <w:rPr>
          <w:spacing w:val="5"/>
          <w:w w:val="95"/>
          <w:sz w:val="32"/>
        </w:rPr>
        <w:t>展癌症临床数据分析研究，为癌症诊治提供决策支持。</w:t>
      </w:r>
      <w:r>
        <w:rPr>
          <w:rFonts w:hint="eastAsia" w:ascii="楷体" w:eastAsia="楷体"/>
          <w:spacing w:val="5"/>
          <w:w w:val="95"/>
          <w:sz w:val="32"/>
        </w:rPr>
        <w:t>（</w:t>
      </w:r>
      <w:r>
        <w:rPr>
          <w:rFonts w:hint="eastAsia" w:ascii="楷体" w:eastAsia="楷体"/>
          <w:spacing w:val="-4"/>
          <w:w w:val="95"/>
          <w:sz w:val="32"/>
        </w:rPr>
        <w:t xml:space="preserve">卫生 </w:t>
      </w:r>
      <w:r>
        <w:rPr>
          <w:rFonts w:hint="eastAsia" w:ascii="楷体" w:eastAsia="楷体"/>
          <w:sz w:val="32"/>
        </w:rPr>
        <w:t>健康委牵头，发展改革委按职责负责）</w:t>
      </w:r>
    </w:p>
    <w:p>
      <w:pPr>
        <w:pStyle w:val="10"/>
        <w:numPr>
          <w:ilvl w:val="0"/>
          <w:numId w:val="33"/>
        </w:numPr>
        <w:tabs>
          <w:tab w:val="left" w:pos="1060"/>
        </w:tabs>
        <w:spacing w:before="7" w:after="0" w:line="350" w:lineRule="auto"/>
        <w:ind w:left="171" w:right="429" w:firstLine="638"/>
        <w:jc w:val="both"/>
        <w:rPr>
          <w:sz w:val="32"/>
        </w:rPr>
      </w:pPr>
      <w:r>
        <w:rPr>
          <w:spacing w:val="6"/>
          <w:w w:val="95"/>
          <w:sz w:val="32"/>
        </w:rPr>
        <w:t xml:space="preserve">在国家科技计划中进一步针对目前癌症防治攻关中亟需 </w:t>
      </w:r>
      <w:r>
        <w:rPr>
          <w:spacing w:val="-4"/>
          <w:sz w:val="32"/>
        </w:rPr>
        <w:t xml:space="preserve">解决的薄弱环节加强科技创新部署。在科技创新 </w:t>
      </w:r>
      <w:r>
        <w:rPr>
          <w:rFonts w:ascii="Times New Roman" w:eastAsia="Times New Roman"/>
          <w:sz w:val="32"/>
        </w:rPr>
        <w:t>2030</w:t>
      </w:r>
      <w:r>
        <w:rPr>
          <w:rFonts w:ascii="Times New Roman" w:eastAsia="Times New Roman"/>
          <w:spacing w:val="-6"/>
          <w:sz w:val="32"/>
        </w:rPr>
        <w:t xml:space="preserve"> </w:t>
      </w:r>
      <w:r>
        <w:rPr>
          <w:sz w:val="32"/>
        </w:rPr>
        <w:t>重大项目</w:t>
      </w:r>
      <w:r>
        <w:rPr>
          <w:spacing w:val="4"/>
          <w:w w:val="95"/>
          <w:sz w:val="32"/>
        </w:rPr>
        <w:t>中，强化癌症防治的基础前沿研究、诊治技术和应用示范的全 链条部署。充分发挥国家临床医学研究中心及其协同网络在临 床研究、成果转化、推广应用方面的引领示范带动作用，持续</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rPr>
          <w:rFonts w:hint="eastAsia" w:ascii="楷体" w:eastAsia="楷体"/>
        </w:rPr>
      </w:pPr>
      <w:r>
        <w:rPr>
          <w:spacing w:val="5"/>
          <w:w w:val="95"/>
        </w:rPr>
        <w:t>提升我国癌症防治的整体科技水平。</w:t>
      </w:r>
      <w:r>
        <w:rPr>
          <w:rFonts w:hint="eastAsia" w:ascii="楷体" w:eastAsia="楷体"/>
          <w:spacing w:val="5"/>
          <w:w w:val="95"/>
        </w:rPr>
        <w:t>（</w:t>
      </w:r>
      <w:r>
        <w:rPr>
          <w:rFonts w:hint="eastAsia" w:ascii="楷体" w:eastAsia="楷体"/>
          <w:spacing w:val="3"/>
          <w:w w:val="95"/>
        </w:rPr>
        <w:t xml:space="preserve">科技部、卫生健康委等 </w:t>
      </w:r>
      <w:r>
        <w:rPr>
          <w:rFonts w:hint="eastAsia" w:ascii="楷体" w:eastAsia="楷体"/>
        </w:rPr>
        <w:t>按职责分工负责）</w:t>
      </w:r>
    </w:p>
    <w:p>
      <w:pPr>
        <w:pStyle w:val="2"/>
        <w:spacing w:before="3"/>
      </w:pPr>
      <w:bookmarkStart w:id="73" w:name="_TOC_250002"/>
      <w:bookmarkEnd w:id="73"/>
      <w:r>
        <w:t>（十三）慢性呼吸系统疾病防治行动。</w:t>
      </w:r>
    </w:p>
    <w:p>
      <w:pPr>
        <w:pStyle w:val="3"/>
        <w:spacing w:before="190" w:line="350" w:lineRule="auto"/>
        <w:ind w:right="288"/>
      </w:pPr>
      <w:r>
        <w:rPr>
          <w:spacing w:val="5"/>
        </w:rPr>
        <w:t>慢性呼吸系统疾病是以慢性阻塞性肺疾病（</w:t>
      </w:r>
      <w:r>
        <w:rPr>
          <w:spacing w:val="4"/>
        </w:rPr>
        <w:t>以下简称慢阻肺</w:t>
      </w:r>
      <w:r>
        <w:rPr>
          <w:spacing w:val="-12"/>
        </w:rPr>
        <w:t>）</w:t>
      </w:r>
      <w:r>
        <w:rPr>
          <w:spacing w:val="-9"/>
        </w:rPr>
        <w:t xml:space="preserve">、哮喘等为代表的一系列疾病。我国 </w:t>
      </w:r>
      <w:r>
        <w:rPr>
          <w:rFonts w:ascii="Times New Roman" w:eastAsia="Times New Roman"/>
        </w:rPr>
        <w:t xml:space="preserve">40 </w:t>
      </w:r>
      <w:r>
        <w:t>岁及以上人群慢阻</w:t>
      </w:r>
      <w:r>
        <w:rPr>
          <w:spacing w:val="-15"/>
        </w:rPr>
        <w:t xml:space="preserve">肺患病率为 </w:t>
      </w:r>
      <w:r>
        <w:rPr>
          <w:rFonts w:ascii="Times New Roman" w:eastAsia="Times New Roman"/>
        </w:rPr>
        <w:t>13.6%</w:t>
      </w:r>
      <w:r>
        <w:rPr>
          <w:spacing w:val="-11"/>
        </w:rPr>
        <w:t xml:space="preserve">，总患病人数近 </w:t>
      </w:r>
      <w:r>
        <w:rPr>
          <w:rFonts w:ascii="Times New Roman" w:eastAsia="Times New Roman"/>
        </w:rPr>
        <w:t xml:space="preserve">1 </w:t>
      </w:r>
      <w:r>
        <w:t>亿。慢阻肺具有高患病率、</w:t>
      </w:r>
      <w:r>
        <w:rPr>
          <w:spacing w:val="4"/>
        </w:rPr>
        <w:t>高致残率、高病死率和高疾病负担的特点，患病周期长、反复急性加重、有多种合并症，严重影响中老年患者的预后和生活</w:t>
      </w:r>
      <w:r>
        <w:rPr>
          <w:spacing w:val="-7"/>
        </w:rPr>
        <w:t xml:space="preserve">质量。我国哮喘患者超过 </w:t>
      </w:r>
      <w:r>
        <w:rPr>
          <w:rFonts w:ascii="Times New Roman" w:eastAsia="Times New Roman"/>
        </w:rPr>
        <w:t xml:space="preserve">3000 </w:t>
      </w:r>
      <w:r>
        <w:rPr>
          <w:spacing w:val="-5"/>
        </w:rPr>
        <w:t>万人，因病程长、反复发作，导</w:t>
      </w:r>
      <w:r>
        <w:rPr>
          <w:spacing w:val="4"/>
        </w:rPr>
        <w:t>致误工误学，影响儿童生长发育和患者生活质量。慢阻肺最重要的危险因素是吸烟、室内外空气污染物以及职业性粉尘和化学物质的吸入。哮喘的主要危险因素包括遗传性易感因素、环境过敏原的暴露、空气污染、病毒感染等。通过积极控制相关危险因素，可以有效预防慢性呼吸系统疾病的发生发展，显著提高患者预后和生活质量。</w:t>
      </w:r>
    </w:p>
    <w:p>
      <w:pPr>
        <w:pStyle w:val="3"/>
        <w:spacing w:before="16"/>
        <w:ind w:left="810" w:right="0" w:firstLine="0"/>
        <w:rPr>
          <w:rFonts w:hint="eastAsia" w:ascii="黑体" w:eastAsia="黑体"/>
        </w:rPr>
      </w:pPr>
      <w:r>
        <w:rPr>
          <w:rFonts w:hint="eastAsia" w:ascii="黑体" w:eastAsia="黑体"/>
        </w:rPr>
        <w:t>行动目标：</w:t>
      </w:r>
    </w:p>
    <w:p>
      <w:pPr>
        <w:pStyle w:val="3"/>
        <w:spacing w:before="190" w:line="350" w:lineRule="auto"/>
        <w:jc w:val="both"/>
      </w:pPr>
      <w:r>
        <w:rPr>
          <w:spacing w:val="-38"/>
        </w:rPr>
        <w:t xml:space="preserve">到 </w:t>
      </w:r>
      <w:r>
        <w:rPr>
          <w:rFonts w:ascii="Times New Roman" w:eastAsia="Times New Roman"/>
        </w:rPr>
        <w:t xml:space="preserve">2022 </w:t>
      </w:r>
      <w:r>
        <w:rPr>
          <w:spacing w:val="-27"/>
        </w:rPr>
        <w:t xml:space="preserve">年和 </w:t>
      </w:r>
      <w:r>
        <w:rPr>
          <w:rFonts w:ascii="Times New Roman" w:eastAsia="Times New Roman"/>
        </w:rPr>
        <w:t xml:space="preserve">2030 </w:t>
      </w:r>
      <w:r>
        <w:t>年，</w:t>
      </w:r>
      <w:r>
        <w:rPr>
          <w:rFonts w:ascii="Times New Roman" w:eastAsia="Times New Roman"/>
        </w:rPr>
        <w:t xml:space="preserve">70 </w:t>
      </w:r>
      <w:r>
        <w:t>岁及以下人群慢性呼吸系统疾病</w:t>
      </w:r>
      <w:r>
        <w:rPr>
          <w:spacing w:val="-8"/>
        </w:rPr>
        <w:t xml:space="preserve">死亡率下降到 </w:t>
      </w:r>
      <w:r>
        <w:rPr>
          <w:rFonts w:ascii="Times New Roman" w:eastAsia="Times New Roman"/>
        </w:rPr>
        <w:t xml:space="preserve">9/10 </w:t>
      </w:r>
      <w:r>
        <w:rPr>
          <w:spacing w:val="-10"/>
        </w:rPr>
        <w:t xml:space="preserve">万及以下和 </w:t>
      </w:r>
      <w:r>
        <w:rPr>
          <w:rFonts w:ascii="Times New Roman" w:eastAsia="Times New Roman"/>
        </w:rPr>
        <w:t xml:space="preserve">8.1/10 </w:t>
      </w:r>
      <w:r>
        <w:rPr>
          <w:spacing w:val="3"/>
        </w:rPr>
        <w:t xml:space="preserve">万及以下； </w:t>
      </w:r>
      <w:r>
        <w:rPr>
          <w:rFonts w:ascii="Times New Roman" w:eastAsia="Times New Roman"/>
        </w:rPr>
        <w:t xml:space="preserve">40 </w:t>
      </w:r>
      <w:r>
        <w:rPr>
          <w:spacing w:val="3"/>
        </w:rPr>
        <w:t>岁及以上</w:t>
      </w:r>
      <w:r>
        <w:rPr>
          <w:spacing w:val="-4"/>
        </w:rPr>
        <w:t xml:space="preserve">居民慢阻肺知晓率分别达到 </w:t>
      </w:r>
      <w:r>
        <w:rPr>
          <w:rFonts w:ascii="Times New Roman" w:eastAsia="Times New Roman"/>
        </w:rPr>
        <w:t>15%</w:t>
      </w:r>
      <w:r>
        <w:rPr>
          <w:spacing w:val="-17"/>
        </w:rPr>
        <w:t xml:space="preserve">及以上和 </w:t>
      </w:r>
      <w:r>
        <w:rPr>
          <w:rFonts w:ascii="Times New Roman" w:eastAsia="Times New Roman"/>
        </w:rPr>
        <w:t>30%</w:t>
      </w:r>
      <w:r>
        <w:rPr>
          <w:spacing w:val="-3"/>
        </w:rPr>
        <w:t>及以上。</w:t>
      </w:r>
      <w:r>
        <w:rPr>
          <w:rFonts w:ascii="Times New Roman" w:eastAsia="Times New Roman"/>
        </w:rPr>
        <w:t xml:space="preserve">40 </w:t>
      </w:r>
      <w:r>
        <w:t>岁及</w:t>
      </w:r>
      <w:r>
        <w:rPr>
          <w:spacing w:val="-4"/>
        </w:rPr>
        <w:t xml:space="preserve">以上人群或慢性呼吸系统疾病高危人群每年检查肺功能 </w:t>
      </w:r>
      <w:r>
        <w:rPr>
          <w:rFonts w:ascii="Times New Roman" w:eastAsia="Times New Roman"/>
        </w:rPr>
        <w:t xml:space="preserve">1 </w:t>
      </w:r>
      <w:r>
        <w:t>次。</w:t>
      </w:r>
    </w:p>
    <w:p>
      <w:pPr>
        <w:pStyle w:val="2"/>
        <w:rPr>
          <w:rFonts w:hint="eastAsia" w:ascii="仿宋" w:hAnsi="仿宋" w:eastAsia="仿宋"/>
        </w:rPr>
      </w:pPr>
      <w:bookmarkStart w:id="74" w:name="——个人："/>
      <w:bookmarkEnd w:id="74"/>
      <w:r>
        <w:rPr>
          <w:rFonts w:ascii="Times New Roman" w:hAnsi="Times New Roman" w:eastAsia="Times New Roman"/>
        </w:rPr>
        <w:t>——</w:t>
      </w:r>
      <w:r>
        <w:rPr>
          <w:rFonts w:hint="eastAsia" w:ascii="仿宋" w:hAnsi="仿宋" w:eastAsia="仿宋"/>
        </w:rPr>
        <w:t>个人：</w:t>
      </w:r>
    </w:p>
    <w:p>
      <w:pPr>
        <w:pStyle w:val="10"/>
        <w:numPr>
          <w:ilvl w:val="0"/>
          <w:numId w:val="34"/>
        </w:numPr>
        <w:tabs>
          <w:tab w:val="left" w:pos="1052"/>
        </w:tabs>
        <w:spacing w:before="190" w:after="0" w:line="350" w:lineRule="auto"/>
        <w:ind w:left="171" w:right="429" w:firstLine="638"/>
        <w:jc w:val="left"/>
        <w:rPr>
          <w:sz w:val="32"/>
        </w:rPr>
      </w:pPr>
      <w:r>
        <w:rPr>
          <w:spacing w:val="-8"/>
          <w:w w:val="95"/>
          <w:sz w:val="32"/>
        </w:rPr>
        <w:t>关注疾病早期发现。呼吸困难、慢性咳嗽和</w:t>
      </w:r>
      <w:r>
        <w:rPr>
          <w:w w:val="95"/>
          <w:sz w:val="32"/>
        </w:rPr>
        <w:t>（或</w:t>
      </w:r>
      <w:r>
        <w:rPr>
          <w:spacing w:val="-29"/>
          <w:w w:val="95"/>
          <w:sz w:val="32"/>
        </w:rPr>
        <w:t>）</w:t>
      </w:r>
      <w:r>
        <w:rPr>
          <w:w w:val="95"/>
          <w:sz w:val="32"/>
        </w:rPr>
        <w:t xml:space="preserve">咳痰是 </w:t>
      </w:r>
      <w:r>
        <w:rPr>
          <w:spacing w:val="-1"/>
          <w:sz w:val="32"/>
        </w:rPr>
        <w:t>慢阻肺最常见的症状，</w:t>
      </w:r>
      <w:r>
        <w:rPr>
          <w:rFonts w:ascii="Times New Roman" w:eastAsia="Times New Roman"/>
          <w:spacing w:val="-4"/>
          <w:sz w:val="32"/>
        </w:rPr>
        <w:t>40</w:t>
      </w:r>
      <w:r>
        <w:rPr>
          <w:rFonts w:ascii="Times New Roman" w:eastAsia="Times New Roman"/>
          <w:spacing w:val="70"/>
          <w:sz w:val="32"/>
        </w:rPr>
        <w:t xml:space="preserve"> </w:t>
      </w:r>
      <w:r>
        <w:rPr>
          <w:spacing w:val="-3"/>
          <w:sz w:val="32"/>
        </w:rPr>
        <w:t>岁及以上人群，长期吸烟、职业粉尘</w:t>
      </w:r>
    </w:p>
    <w:p>
      <w:pPr>
        <w:spacing w:after="0" w:line="350" w:lineRule="auto"/>
        <w:jc w:val="left"/>
        <w:rPr>
          <w:sz w:val="32"/>
        </w:rPr>
        <w:sectPr>
          <w:pgSz w:w="11910" w:h="16840"/>
          <w:pgMar w:top="1540" w:right="1140" w:bottom="1380" w:left="1400" w:header="0" w:footer="1200" w:gutter="0"/>
        </w:sectPr>
      </w:pPr>
    </w:p>
    <w:p>
      <w:pPr>
        <w:pStyle w:val="3"/>
        <w:spacing w:line="350" w:lineRule="auto"/>
        <w:ind w:right="214" w:firstLine="0"/>
      </w:pPr>
      <w:r>
        <w:t xml:space="preserve">或化学物质暴露等危险因素接触者，有活动后气短或呼吸困难、慢性咳嗽咳痰、反复下呼吸道感染等症状者，建议每年进行 </w:t>
      </w:r>
      <w:r>
        <w:rPr>
          <w:rFonts w:ascii="Times New Roman" w:eastAsia="Times New Roman"/>
        </w:rPr>
        <w:t xml:space="preserve">1 </w:t>
      </w:r>
      <w:r>
        <w:t>次肺功能检测，确认是否已患慢阻肺。哮喘主要表现为反复发作的喘息、气急、胸闷或咳嗽，常在夜间及凌晨发作或加重， 建议尽快到医院确诊。</w:t>
      </w:r>
    </w:p>
    <w:p>
      <w:pPr>
        <w:pStyle w:val="10"/>
        <w:numPr>
          <w:ilvl w:val="0"/>
          <w:numId w:val="34"/>
        </w:numPr>
        <w:tabs>
          <w:tab w:val="left" w:pos="1052"/>
        </w:tabs>
        <w:spacing w:before="7" w:after="0" w:line="350" w:lineRule="auto"/>
        <w:ind w:left="171" w:right="270" w:firstLine="638"/>
        <w:jc w:val="left"/>
        <w:rPr>
          <w:sz w:val="32"/>
        </w:rPr>
      </w:pPr>
      <w:r>
        <w:rPr>
          <w:sz w:val="32"/>
        </w:rPr>
        <w:t>注意危险因素防护。减少烟草暴露，吸烟者尽可能戒烟。</w:t>
      </w:r>
      <w:r>
        <w:rPr>
          <w:spacing w:val="4"/>
          <w:sz w:val="32"/>
        </w:rPr>
        <w:t>加强职业防护，避免与有毒、有害气体及化学物质接触，减少</w:t>
      </w:r>
      <w:r>
        <w:rPr>
          <w:spacing w:val="5"/>
          <w:sz w:val="32"/>
        </w:rPr>
        <w:t>生物燃料</w:t>
      </w:r>
      <w:r>
        <w:rPr>
          <w:spacing w:val="7"/>
          <w:sz w:val="32"/>
        </w:rPr>
        <w:t>（</w:t>
      </w:r>
      <w:r>
        <w:rPr>
          <w:spacing w:val="5"/>
          <w:sz w:val="32"/>
        </w:rPr>
        <w:t>木材、动物粪便、农作物残梗、煤炭等）</w:t>
      </w:r>
      <w:r>
        <w:rPr>
          <w:spacing w:val="3"/>
          <w:sz w:val="32"/>
        </w:rPr>
        <w:t>燃烧所致</w:t>
      </w:r>
      <w:r>
        <w:rPr>
          <w:spacing w:val="4"/>
          <w:sz w:val="32"/>
        </w:rPr>
        <w:t>的室内空气污染，避免大量油烟刺激，室外空气污染严重天气</w:t>
      </w:r>
      <w:r>
        <w:rPr>
          <w:sz w:val="32"/>
        </w:rPr>
        <w:t>减少外出或做好戴口罩等防护措施。提倡家庭中进行湿式清扫。</w:t>
      </w:r>
    </w:p>
    <w:p>
      <w:pPr>
        <w:pStyle w:val="10"/>
        <w:numPr>
          <w:ilvl w:val="0"/>
          <w:numId w:val="34"/>
        </w:numPr>
        <w:tabs>
          <w:tab w:val="left" w:pos="1052"/>
        </w:tabs>
        <w:spacing w:before="7" w:after="0" w:line="350" w:lineRule="auto"/>
        <w:ind w:left="171" w:right="429" w:firstLine="638"/>
        <w:jc w:val="both"/>
        <w:rPr>
          <w:sz w:val="32"/>
        </w:rPr>
      </w:pPr>
      <w:r>
        <w:rPr>
          <w:spacing w:val="-12"/>
          <w:w w:val="95"/>
          <w:sz w:val="32"/>
        </w:rPr>
        <w:t xml:space="preserve">注意预防感冒。感冒是慢阻肺、哮喘等慢性呼吸系统疾病 </w:t>
      </w:r>
      <w:r>
        <w:rPr>
          <w:spacing w:val="4"/>
          <w:w w:val="95"/>
          <w:sz w:val="32"/>
        </w:rPr>
        <w:t xml:space="preserve">急性发作的主要诱因。建议慢性呼吸系统疾病患者和老年人等 </w:t>
      </w:r>
      <w:r>
        <w:rPr>
          <w:sz w:val="32"/>
        </w:rPr>
        <w:t>高危人群主动接种流感疫苗和肺炎球菌疫苗。</w:t>
      </w:r>
    </w:p>
    <w:p>
      <w:pPr>
        <w:pStyle w:val="10"/>
        <w:numPr>
          <w:ilvl w:val="0"/>
          <w:numId w:val="34"/>
        </w:numPr>
        <w:tabs>
          <w:tab w:val="left" w:pos="1052"/>
        </w:tabs>
        <w:spacing w:before="4" w:after="0" w:line="350" w:lineRule="auto"/>
        <w:ind w:left="171" w:right="110" w:firstLine="638"/>
        <w:jc w:val="left"/>
        <w:rPr>
          <w:sz w:val="32"/>
        </w:rPr>
      </w:pPr>
      <w:r>
        <w:rPr>
          <w:spacing w:val="-11"/>
          <w:w w:val="95"/>
          <w:sz w:val="32"/>
        </w:rPr>
        <w:t xml:space="preserve">加强生活方式干预。建议哮喘和慢阻肺患者注重膳食营养， </w:t>
      </w:r>
      <w:r>
        <w:rPr>
          <w:spacing w:val="-8"/>
          <w:sz w:val="32"/>
        </w:rPr>
        <w:t>多吃蔬菜、水果，进行中等量的体力活动，如太极拳、八段锦、</w:t>
      </w:r>
      <w:r>
        <w:rPr>
          <w:spacing w:val="4"/>
          <w:sz w:val="32"/>
        </w:rPr>
        <w:t>走步等，也可以进行腹式呼吸，呼吸操等锻炼，在专业人员指</w:t>
      </w:r>
      <w:r>
        <w:rPr>
          <w:sz w:val="32"/>
        </w:rPr>
        <w:t>导下积极参与康复治疗。建议积极了解医疗机构提供的</w:t>
      </w:r>
      <w:r>
        <w:rPr>
          <w:rFonts w:ascii="Times New Roman" w:hAnsi="Times New Roman" w:eastAsia="Times New Roman"/>
          <w:sz w:val="32"/>
        </w:rPr>
        <w:t>“</w:t>
      </w:r>
      <w:r>
        <w:rPr>
          <w:sz w:val="32"/>
        </w:rPr>
        <w:t>三伏贴</w:t>
      </w:r>
      <w:r>
        <w:rPr>
          <w:rFonts w:ascii="Times New Roman" w:hAnsi="Times New Roman" w:eastAsia="Times New Roman"/>
          <w:sz w:val="32"/>
        </w:rPr>
        <w:t xml:space="preserve">” </w:t>
      </w:r>
      <w:r>
        <w:rPr>
          <w:sz w:val="32"/>
        </w:rPr>
        <w:t>等中医药特色服务。</w:t>
      </w:r>
    </w:p>
    <w:p>
      <w:pPr>
        <w:pStyle w:val="10"/>
        <w:numPr>
          <w:ilvl w:val="0"/>
          <w:numId w:val="34"/>
        </w:numPr>
        <w:tabs>
          <w:tab w:val="left" w:pos="1052"/>
        </w:tabs>
        <w:spacing w:before="7" w:after="0" w:line="350" w:lineRule="auto"/>
        <w:ind w:left="171" w:right="429" w:firstLine="638"/>
        <w:jc w:val="both"/>
        <w:rPr>
          <w:sz w:val="32"/>
        </w:rPr>
      </w:pPr>
      <w:r>
        <w:rPr>
          <w:spacing w:val="-7"/>
          <w:sz w:val="32"/>
        </w:rPr>
        <w:t>哮喘患者避免接触过敏原和各种诱发因素。宠物毛发、皮</w:t>
      </w:r>
      <w:r>
        <w:rPr>
          <w:spacing w:val="4"/>
          <w:w w:val="95"/>
          <w:sz w:val="32"/>
        </w:rPr>
        <w:t xml:space="preserve">屑是哮喘发病和病情加重的危险因素，建议有哮喘患者的家庭 </w:t>
      </w:r>
      <w:r>
        <w:rPr>
          <w:sz w:val="32"/>
        </w:rPr>
        <w:t>尽量避免饲养宠物。母乳喂养可降低婴幼儿哮喘发病风险。</w:t>
      </w:r>
    </w:p>
    <w:p>
      <w:pPr>
        <w:pStyle w:val="2"/>
        <w:spacing w:before="4"/>
        <w:rPr>
          <w:rFonts w:hint="eastAsia" w:ascii="仿宋" w:hAnsi="仿宋" w:eastAsia="仿宋"/>
        </w:rPr>
      </w:pPr>
      <w:bookmarkStart w:id="75" w:name="——社会和政府："/>
      <w:bookmarkEnd w:id="75"/>
      <w:r>
        <w:rPr>
          <w:rFonts w:ascii="Times New Roman" w:hAnsi="Times New Roman" w:eastAsia="Times New Roman"/>
        </w:rPr>
        <w:t>——</w:t>
      </w:r>
      <w:r>
        <w:rPr>
          <w:rFonts w:hint="eastAsia" w:ascii="仿宋" w:hAnsi="仿宋" w:eastAsia="仿宋"/>
        </w:rPr>
        <w:t>社会和政府：</w:t>
      </w:r>
    </w:p>
    <w:p>
      <w:pPr>
        <w:spacing w:after="0"/>
        <w:rPr>
          <w:rFonts w:hint="eastAsia" w:ascii="仿宋" w:hAnsi="仿宋" w:eastAsia="仿宋"/>
        </w:rPr>
        <w:sectPr>
          <w:pgSz w:w="11910" w:h="16840"/>
          <w:pgMar w:top="1540" w:right="1140" w:bottom="1380" w:left="1400" w:header="0" w:footer="1200" w:gutter="0"/>
        </w:sectPr>
      </w:pPr>
    </w:p>
    <w:p>
      <w:pPr>
        <w:pStyle w:val="10"/>
        <w:numPr>
          <w:ilvl w:val="0"/>
          <w:numId w:val="35"/>
        </w:numPr>
        <w:tabs>
          <w:tab w:val="left" w:pos="1053"/>
        </w:tabs>
        <w:spacing w:before="43" w:after="0" w:line="350" w:lineRule="auto"/>
        <w:ind w:left="171" w:right="429" w:firstLine="638"/>
        <w:jc w:val="both"/>
        <w:rPr>
          <w:rFonts w:hint="eastAsia" w:ascii="楷体" w:eastAsia="楷体"/>
          <w:sz w:val="32"/>
        </w:rPr>
      </w:pPr>
      <w:r>
        <w:rPr>
          <w:spacing w:val="-9"/>
          <w:sz w:val="32"/>
        </w:rPr>
        <w:t xml:space="preserve">将肺功能检查纳入 </w:t>
      </w:r>
      <w:r>
        <w:rPr>
          <w:rFonts w:ascii="Times New Roman" w:eastAsia="Times New Roman"/>
          <w:sz w:val="32"/>
        </w:rPr>
        <w:t>40</w:t>
      </w:r>
      <w:r>
        <w:rPr>
          <w:rFonts w:ascii="Times New Roman" w:eastAsia="Times New Roman"/>
          <w:spacing w:val="7"/>
          <w:sz w:val="32"/>
        </w:rPr>
        <w:t xml:space="preserve"> </w:t>
      </w:r>
      <w:r>
        <w:rPr>
          <w:sz w:val="32"/>
        </w:rPr>
        <w:t>岁及以上人群常规体检内容。推行</w:t>
      </w:r>
      <w:r>
        <w:rPr>
          <w:spacing w:val="4"/>
          <w:w w:val="95"/>
          <w:sz w:val="32"/>
        </w:rPr>
        <w:t xml:space="preserve">高危人群首诊测量肺功能，发现疑似慢阻肺患者及时提供转诊 服务。推动各地为社区卫生服务中心和乡镇卫生院配备肺功能 </w:t>
      </w:r>
      <w:r>
        <w:rPr>
          <w:spacing w:val="5"/>
          <w:w w:val="95"/>
          <w:sz w:val="32"/>
        </w:rPr>
        <w:t>检查仪等设备，做好基层专业人员培训。</w:t>
      </w:r>
      <w:r>
        <w:rPr>
          <w:rFonts w:hint="eastAsia" w:ascii="楷体" w:eastAsia="楷体"/>
          <w:spacing w:val="5"/>
          <w:w w:val="95"/>
          <w:sz w:val="32"/>
        </w:rPr>
        <w:t>（</w:t>
      </w:r>
      <w:r>
        <w:rPr>
          <w:rFonts w:hint="eastAsia" w:ascii="楷体" w:eastAsia="楷体"/>
          <w:spacing w:val="2"/>
          <w:w w:val="95"/>
          <w:sz w:val="32"/>
        </w:rPr>
        <w:t xml:space="preserve">卫生健康委牵头， </w:t>
      </w:r>
      <w:r>
        <w:rPr>
          <w:rFonts w:hint="eastAsia" w:ascii="楷体" w:eastAsia="楷体"/>
          <w:sz w:val="32"/>
        </w:rPr>
        <w:t>发展改革委、财政部按职责分工负责）</w:t>
      </w:r>
    </w:p>
    <w:p>
      <w:pPr>
        <w:pStyle w:val="10"/>
        <w:numPr>
          <w:ilvl w:val="0"/>
          <w:numId w:val="35"/>
        </w:numPr>
        <w:tabs>
          <w:tab w:val="left" w:pos="1060"/>
        </w:tabs>
        <w:spacing w:before="7" w:after="0" w:line="350" w:lineRule="auto"/>
        <w:ind w:left="171" w:right="270" w:firstLine="638"/>
        <w:jc w:val="left"/>
        <w:rPr>
          <w:sz w:val="32"/>
        </w:rPr>
      </w:pPr>
      <w:r>
        <w:rPr>
          <w:spacing w:val="6"/>
          <w:sz w:val="32"/>
        </w:rPr>
        <w:t>研究将慢阻肺患者健康管理纳入国家基本公共卫生服务</w:t>
      </w:r>
      <w:r>
        <w:rPr>
          <w:spacing w:val="4"/>
          <w:sz w:val="32"/>
        </w:rPr>
        <w:t>项目，落实分级诊疗制度，为慢阻肺高危人群和患者提供筛查</w:t>
      </w:r>
      <w:r>
        <w:rPr>
          <w:spacing w:val="-4"/>
          <w:w w:val="95"/>
          <w:sz w:val="32"/>
        </w:rPr>
        <w:t xml:space="preserve">干预、诊断、治疗、随访管理、功能康复等全程防治管理服务， </w:t>
      </w:r>
      <w:r>
        <w:rPr>
          <w:spacing w:val="5"/>
          <w:sz w:val="32"/>
        </w:rPr>
        <w:t>提高基层慢阻肺的早诊早治率和规范化管理率。</w:t>
      </w:r>
      <w:r>
        <w:rPr>
          <w:sz w:val="32"/>
        </w:rPr>
        <w:t>（</w:t>
      </w:r>
      <w:r>
        <w:rPr>
          <w:rFonts w:hint="eastAsia" w:ascii="楷体" w:eastAsia="楷体"/>
          <w:spacing w:val="4"/>
          <w:sz w:val="32"/>
        </w:rPr>
        <w:t>卫生健康委牵头，财政部按职责负责</w:t>
      </w:r>
      <w:r>
        <w:rPr>
          <w:spacing w:val="4"/>
          <w:sz w:val="32"/>
        </w:rPr>
        <w:t>）</w:t>
      </w:r>
    </w:p>
    <w:p>
      <w:pPr>
        <w:pStyle w:val="10"/>
        <w:numPr>
          <w:ilvl w:val="0"/>
          <w:numId w:val="35"/>
        </w:numPr>
        <w:tabs>
          <w:tab w:val="left" w:pos="1052"/>
        </w:tabs>
        <w:spacing w:before="7" w:after="0" w:line="350" w:lineRule="auto"/>
        <w:ind w:left="171" w:right="429" w:firstLine="638"/>
        <w:jc w:val="both"/>
        <w:rPr>
          <w:rFonts w:hint="eastAsia" w:ascii="楷体" w:eastAsia="楷体"/>
          <w:sz w:val="32"/>
        </w:rPr>
      </w:pPr>
      <w:r>
        <w:rPr>
          <w:spacing w:val="-6"/>
          <w:sz w:val="32"/>
        </w:rPr>
        <w:t>着力提升基层慢性呼吸系统疾病防治能力和水平，加强基</w:t>
      </w:r>
      <w:r>
        <w:rPr>
          <w:spacing w:val="5"/>
          <w:w w:val="95"/>
          <w:sz w:val="32"/>
        </w:rPr>
        <w:t>层医疗机构相关诊治设备（</w:t>
      </w:r>
      <w:r>
        <w:rPr>
          <w:spacing w:val="3"/>
          <w:w w:val="95"/>
          <w:sz w:val="32"/>
        </w:rPr>
        <w:t xml:space="preserve">雾化吸入设施、氧疗设备、无创呼 </w:t>
      </w:r>
      <w:r>
        <w:rPr>
          <w:spacing w:val="5"/>
          <w:w w:val="95"/>
          <w:sz w:val="32"/>
        </w:rPr>
        <w:t>吸机等）和长期治疗管理用药的配备。</w:t>
      </w:r>
      <w:r>
        <w:rPr>
          <w:rFonts w:hint="eastAsia" w:ascii="楷体" w:eastAsia="楷体"/>
          <w:spacing w:val="5"/>
          <w:w w:val="95"/>
          <w:sz w:val="32"/>
        </w:rPr>
        <w:t>（</w:t>
      </w:r>
      <w:r>
        <w:rPr>
          <w:rFonts w:hint="eastAsia" w:ascii="楷体" w:eastAsia="楷体"/>
          <w:spacing w:val="2"/>
          <w:w w:val="95"/>
          <w:sz w:val="32"/>
        </w:rPr>
        <w:t xml:space="preserve">卫生健康委牵头，发 </w:t>
      </w:r>
      <w:r>
        <w:rPr>
          <w:rFonts w:hint="eastAsia" w:ascii="楷体" w:eastAsia="楷体"/>
          <w:sz w:val="32"/>
        </w:rPr>
        <w:t>展改革委、财政部按职责分工负责）</w:t>
      </w:r>
    </w:p>
    <w:p>
      <w:pPr>
        <w:pStyle w:val="10"/>
        <w:numPr>
          <w:ilvl w:val="0"/>
          <w:numId w:val="35"/>
        </w:numPr>
        <w:tabs>
          <w:tab w:val="left" w:pos="1212"/>
        </w:tabs>
        <w:spacing w:before="5" w:after="0" w:line="350" w:lineRule="auto"/>
        <w:ind w:left="171" w:right="429" w:firstLine="638"/>
        <w:jc w:val="both"/>
        <w:rPr>
          <w:rFonts w:hint="eastAsia" w:ascii="楷体" w:eastAsia="楷体"/>
          <w:sz w:val="32"/>
        </w:rPr>
      </w:pPr>
      <w:r>
        <w:rPr>
          <w:sz w:val="32"/>
        </w:rPr>
        <w:t>加强科技攻关和成果转化，运用临床综合评价、鼓励相</w:t>
      </w:r>
      <w:r>
        <w:rPr>
          <w:spacing w:val="4"/>
          <w:w w:val="95"/>
          <w:sz w:val="32"/>
        </w:rPr>
        <w:t xml:space="preserve">关企业部门研发等措施，提高新型疫苗、诊断技术、治疗药物 </w:t>
      </w:r>
      <w:r>
        <w:rPr>
          <w:spacing w:val="5"/>
          <w:w w:val="95"/>
          <w:sz w:val="32"/>
        </w:rPr>
        <w:t>的可及性，降低患者经济负担。</w:t>
      </w:r>
      <w:r>
        <w:rPr>
          <w:rFonts w:hint="eastAsia" w:ascii="楷体" w:eastAsia="楷体"/>
          <w:spacing w:val="5"/>
          <w:w w:val="95"/>
          <w:sz w:val="32"/>
        </w:rPr>
        <w:t>（</w:t>
      </w:r>
      <w:r>
        <w:rPr>
          <w:rFonts w:hint="eastAsia" w:ascii="楷体" w:eastAsia="楷体"/>
          <w:spacing w:val="3"/>
          <w:w w:val="95"/>
          <w:sz w:val="32"/>
        </w:rPr>
        <w:t xml:space="preserve">科技部、卫生健康委、医保 </w:t>
      </w:r>
      <w:r>
        <w:rPr>
          <w:rFonts w:hint="eastAsia" w:ascii="楷体" w:eastAsia="楷体"/>
          <w:sz w:val="32"/>
        </w:rPr>
        <w:t>局按职责分工负责）</w:t>
      </w:r>
    </w:p>
    <w:p>
      <w:pPr>
        <w:pStyle w:val="2"/>
      </w:pPr>
      <w:bookmarkStart w:id="76" w:name="_TOC_250001"/>
      <w:bookmarkEnd w:id="76"/>
      <w:r>
        <w:t>（十四）糖尿病防治行动。</w:t>
      </w:r>
    </w:p>
    <w:p>
      <w:pPr>
        <w:pStyle w:val="3"/>
        <w:spacing w:before="190" w:line="350" w:lineRule="auto"/>
        <w:jc w:val="both"/>
      </w:pPr>
      <w:r>
        <w:rPr>
          <w:spacing w:val="-8"/>
        </w:rPr>
        <w:t xml:space="preserve">糖尿病是一种常见的内分泌代谢疾病。我国 </w:t>
      </w:r>
      <w:r>
        <w:rPr>
          <w:rFonts w:ascii="Times New Roman" w:eastAsia="Times New Roman"/>
        </w:rPr>
        <w:t xml:space="preserve">18 </w:t>
      </w:r>
      <w:r>
        <w:t>岁以上人群</w:t>
      </w:r>
      <w:r>
        <w:rPr>
          <w:spacing w:val="-5"/>
        </w:rPr>
        <w:t xml:space="preserve">糖尿病患病率从 </w:t>
      </w:r>
      <w:r>
        <w:rPr>
          <w:rFonts w:ascii="Times New Roman" w:eastAsia="Times New Roman"/>
        </w:rPr>
        <w:t xml:space="preserve">2002 </w:t>
      </w:r>
      <w:r>
        <w:rPr>
          <w:spacing w:val="-22"/>
        </w:rPr>
        <w:t xml:space="preserve">年的 </w:t>
      </w:r>
      <w:r>
        <w:rPr>
          <w:rFonts w:ascii="Times New Roman" w:eastAsia="Times New Roman"/>
        </w:rPr>
        <w:t>4.2%</w:t>
      </w:r>
      <w:r>
        <w:rPr>
          <w:spacing w:val="6"/>
        </w:rPr>
        <w:t xml:space="preserve">迅速上升至 </w:t>
      </w:r>
      <w:r>
        <w:rPr>
          <w:rFonts w:ascii="Times New Roman" w:eastAsia="Times New Roman"/>
        </w:rPr>
        <w:t xml:space="preserve">2012 </w:t>
      </w:r>
      <w:r>
        <w:rPr>
          <w:spacing w:val="-22"/>
        </w:rPr>
        <w:t xml:space="preserve">年的 </w:t>
      </w:r>
      <w:r>
        <w:rPr>
          <w:rFonts w:ascii="Times New Roman" w:eastAsia="Times New Roman"/>
        </w:rPr>
        <w:t>9.7%</w:t>
      </w:r>
      <w:r>
        <w:t xml:space="preserve">， </w:t>
      </w:r>
      <w:r>
        <w:rPr>
          <w:spacing w:val="-10"/>
        </w:rPr>
        <w:t xml:space="preserve">据估算，目前我国糖尿病患者超过 </w:t>
      </w:r>
      <w:r>
        <w:rPr>
          <w:rFonts w:ascii="Times New Roman" w:eastAsia="Times New Roman"/>
        </w:rPr>
        <w:t xml:space="preserve">9700 </w:t>
      </w:r>
      <w:r>
        <w:rPr>
          <w:spacing w:val="-4"/>
        </w:rPr>
        <w:t>万，糖尿病前期人群约</w:t>
      </w:r>
    </w:p>
    <w:p>
      <w:pPr>
        <w:pStyle w:val="10"/>
        <w:numPr>
          <w:ilvl w:val="1"/>
          <w:numId w:val="36"/>
        </w:numPr>
        <w:tabs>
          <w:tab w:val="left" w:pos="652"/>
        </w:tabs>
        <w:spacing w:before="4" w:after="0" w:line="240" w:lineRule="auto"/>
        <w:ind w:left="652" w:right="0" w:hanging="481"/>
        <w:jc w:val="both"/>
        <w:rPr>
          <w:sz w:val="32"/>
        </w:rPr>
      </w:pPr>
      <w:r>
        <w:rPr>
          <w:spacing w:val="-16"/>
          <w:sz w:val="32"/>
        </w:rPr>
        <w:t>亿。糖尿病并发症累及血管、眼、肾、足等多个器官，致残、</w:t>
      </w:r>
    </w:p>
    <w:p>
      <w:pPr>
        <w:spacing w:after="0" w:line="240" w:lineRule="auto"/>
        <w:jc w:val="both"/>
        <w:rPr>
          <w:sz w:val="32"/>
        </w:rPr>
        <w:sectPr>
          <w:pgSz w:w="11910" w:h="16840"/>
          <w:pgMar w:top="1540" w:right="1140" w:bottom="1380" w:left="1400" w:header="0" w:footer="1200" w:gutter="0"/>
        </w:sectPr>
      </w:pPr>
    </w:p>
    <w:p>
      <w:pPr>
        <w:pStyle w:val="3"/>
        <w:spacing w:line="350" w:lineRule="auto"/>
        <w:ind w:firstLine="0"/>
        <w:jc w:val="both"/>
      </w:pPr>
      <w:r>
        <w:rPr>
          <w:spacing w:val="4"/>
          <w:w w:val="95"/>
        </w:rPr>
        <w:t xml:space="preserve">致死率高，严重影响患者健康，给个人、家庭和社会带来沉重 </w:t>
      </w:r>
      <w:r>
        <w:rPr>
          <w:spacing w:val="-15"/>
        </w:rPr>
        <w:t>的负担。</w:t>
      </w:r>
      <w:r>
        <w:rPr>
          <w:rFonts w:ascii="Times New Roman" w:eastAsia="Times New Roman"/>
        </w:rPr>
        <w:t>2</w:t>
      </w:r>
      <w:r>
        <w:rPr>
          <w:rFonts w:ascii="Times New Roman" w:eastAsia="Times New Roman"/>
          <w:spacing w:val="-4"/>
        </w:rPr>
        <w:t xml:space="preserve"> </w:t>
      </w:r>
      <w:r>
        <w:rPr>
          <w:spacing w:val="-8"/>
        </w:rPr>
        <w:t xml:space="preserve">型糖尿病是我国最常见的糖尿病类型。肥胖是 </w:t>
      </w:r>
      <w:r>
        <w:rPr>
          <w:rFonts w:ascii="Times New Roman" w:eastAsia="Times New Roman"/>
        </w:rPr>
        <w:t>2</w:t>
      </w:r>
      <w:r>
        <w:rPr>
          <w:rFonts w:ascii="Times New Roman" w:eastAsia="Times New Roman"/>
          <w:spacing w:val="-4"/>
        </w:rPr>
        <w:t xml:space="preserve"> </w:t>
      </w:r>
      <w:r>
        <w:t>型糖</w:t>
      </w:r>
      <w:r>
        <w:rPr>
          <w:spacing w:val="4"/>
          <w:w w:val="95"/>
        </w:rPr>
        <w:t xml:space="preserve">尿病的重要危险因素，糖尿病前期人群接受适当的生活方式干 </w:t>
      </w:r>
      <w:r>
        <w:t>预可延迟或预防糖尿病的发生。</w:t>
      </w:r>
    </w:p>
    <w:p>
      <w:pPr>
        <w:pStyle w:val="3"/>
        <w:spacing w:before="5"/>
        <w:ind w:left="810" w:right="0" w:firstLine="0"/>
        <w:rPr>
          <w:rFonts w:hint="eastAsia" w:ascii="黑体" w:eastAsia="黑体"/>
        </w:rPr>
      </w:pPr>
      <w:bookmarkStart w:id="77" w:name="行动目标："/>
      <w:bookmarkEnd w:id="77"/>
      <w:r>
        <w:rPr>
          <w:rFonts w:hint="eastAsia" w:ascii="黑体" w:eastAsia="黑体"/>
        </w:rPr>
        <w:t>行动目标：</w:t>
      </w:r>
    </w:p>
    <w:p>
      <w:pPr>
        <w:pStyle w:val="3"/>
        <w:spacing w:before="190" w:line="350" w:lineRule="auto"/>
        <w:jc w:val="both"/>
      </w:pPr>
      <w:bookmarkStart w:id="78" w:name="到2022年和2030年，18岁及以上居民糖尿病知晓率分别达到50%及以上和60"/>
      <w:bookmarkEnd w:id="78"/>
      <w:r>
        <w:rPr>
          <w:spacing w:val="-38"/>
        </w:rPr>
        <w:t xml:space="preserve">到 </w:t>
      </w:r>
      <w:r>
        <w:rPr>
          <w:rFonts w:ascii="Times New Roman" w:eastAsia="Times New Roman"/>
        </w:rPr>
        <w:t xml:space="preserve">2022 </w:t>
      </w:r>
      <w:r>
        <w:rPr>
          <w:spacing w:val="-27"/>
        </w:rPr>
        <w:t xml:space="preserve">年和 </w:t>
      </w:r>
      <w:r>
        <w:rPr>
          <w:rFonts w:ascii="Times New Roman" w:eastAsia="Times New Roman"/>
        </w:rPr>
        <w:t xml:space="preserve">2030 </w:t>
      </w:r>
      <w:r>
        <w:t>年，</w:t>
      </w:r>
      <w:r>
        <w:rPr>
          <w:rFonts w:ascii="Times New Roman" w:eastAsia="Times New Roman"/>
        </w:rPr>
        <w:t xml:space="preserve">18 </w:t>
      </w:r>
      <w:r>
        <w:t>岁及以上居民糖尿病知晓率分别</w:t>
      </w:r>
      <w:r>
        <w:rPr>
          <w:spacing w:val="-26"/>
        </w:rPr>
        <w:t xml:space="preserve">达到 </w:t>
      </w:r>
      <w:r>
        <w:rPr>
          <w:rFonts w:ascii="Times New Roman" w:eastAsia="Times New Roman"/>
        </w:rPr>
        <w:t>50%</w:t>
      </w:r>
      <w:r>
        <w:rPr>
          <w:spacing w:val="-14"/>
        </w:rPr>
        <w:t xml:space="preserve">及以上和 </w:t>
      </w:r>
      <w:r>
        <w:rPr>
          <w:rFonts w:ascii="Times New Roman" w:eastAsia="Times New Roman"/>
        </w:rPr>
        <w:t>60%</w:t>
      </w:r>
      <w:r>
        <w:t>及以上；糖尿病患者规范管理率分别达</w:t>
      </w:r>
      <w:r>
        <w:rPr>
          <w:spacing w:val="-41"/>
        </w:rPr>
        <w:t xml:space="preserve">到 </w:t>
      </w:r>
      <w:r>
        <w:rPr>
          <w:rFonts w:ascii="Times New Roman" w:eastAsia="Times New Roman"/>
        </w:rPr>
        <w:t>60%</w:t>
      </w:r>
      <w:r>
        <w:rPr>
          <w:spacing w:val="-14"/>
        </w:rPr>
        <w:t xml:space="preserve">及以上和 </w:t>
      </w:r>
      <w:r>
        <w:rPr>
          <w:rFonts w:ascii="Times New Roman" w:eastAsia="Times New Roman"/>
        </w:rPr>
        <w:t>70%</w:t>
      </w:r>
      <w:r>
        <w:t>及以上；糖尿病治疗率、糖尿病控制率、糖尿病并发症筛查率持续提高。</w:t>
      </w:r>
    </w:p>
    <w:p>
      <w:pPr>
        <w:pStyle w:val="3"/>
        <w:spacing w:before="6"/>
        <w:ind w:left="810" w:right="0" w:firstLine="0"/>
        <w:jc w:val="both"/>
      </w:pPr>
      <w:bookmarkStart w:id="79" w:name="提倡40岁及以上人群每年至少检测1次空腹血糖，糖尿病前期人群每6个月检测1次空腹"/>
      <w:bookmarkEnd w:id="79"/>
      <w:r>
        <w:t xml:space="preserve">提倡 </w:t>
      </w:r>
      <w:r>
        <w:rPr>
          <w:rFonts w:ascii="Times New Roman" w:eastAsia="Times New Roman"/>
        </w:rPr>
        <w:t xml:space="preserve">40 </w:t>
      </w:r>
      <w:r>
        <w:t xml:space="preserve">岁及以上人群每年至少检测 </w:t>
      </w:r>
      <w:r>
        <w:rPr>
          <w:rFonts w:ascii="Times New Roman" w:eastAsia="Times New Roman"/>
        </w:rPr>
        <w:t xml:space="preserve">1 </w:t>
      </w:r>
      <w:r>
        <w:t>次空腹血糖，糖尿病</w:t>
      </w:r>
    </w:p>
    <w:p>
      <w:pPr>
        <w:pStyle w:val="3"/>
        <w:spacing w:before="190"/>
        <w:ind w:right="0" w:firstLine="0"/>
        <w:jc w:val="both"/>
      </w:pPr>
      <w:r>
        <w:t xml:space="preserve">前期人群每 </w:t>
      </w:r>
      <w:r>
        <w:rPr>
          <w:rFonts w:ascii="Times New Roman" w:eastAsia="Times New Roman"/>
        </w:rPr>
        <w:t xml:space="preserve">6 </w:t>
      </w:r>
      <w:r>
        <w:t xml:space="preserve">个月检测 </w:t>
      </w:r>
      <w:r>
        <w:rPr>
          <w:rFonts w:ascii="Times New Roman" w:eastAsia="Times New Roman"/>
        </w:rPr>
        <w:t xml:space="preserve">1 </w:t>
      </w:r>
      <w:r>
        <w:t xml:space="preserve">次空腹或餐后 </w:t>
      </w:r>
      <w:r>
        <w:rPr>
          <w:rFonts w:ascii="Times New Roman" w:eastAsia="Times New Roman"/>
        </w:rPr>
        <w:t xml:space="preserve">2 </w:t>
      </w:r>
      <w:r>
        <w:t>小时血糖。</w:t>
      </w:r>
    </w:p>
    <w:p>
      <w:pPr>
        <w:pStyle w:val="2"/>
        <w:spacing w:before="190"/>
        <w:rPr>
          <w:rFonts w:hint="eastAsia" w:ascii="仿宋" w:hAnsi="仿宋" w:eastAsia="仿宋"/>
        </w:rPr>
      </w:pPr>
      <w:bookmarkStart w:id="80" w:name="——个人："/>
      <w:bookmarkEnd w:id="80"/>
      <w:r>
        <w:rPr>
          <w:rFonts w:ascii="Times New Roman" w:hAnsi="Times New Roman" w:eastAsia="Times New Roman"/>
        </w:rPr>
        <w:t>——</w:t>
      </w:r>
      <w:r>
        <w:rPr>
          <w:rFonts w:hint="eastAsia" w:ascii="仿宋" w:hAnsi="仿宋" w:eastAsia="仿宋"/>
        </w:rPr>
        <w:t>个人：</w:t>
      </w:r>
    </w:p>
    <w:p>
      <w:pPr>
        <w:pStyle w:val="10"/>
        <w:numPr>
          <w:ilvl w:val="2"/>
          <w:numId w:val="36"/>
        </w:numPr>
        <w:tabs>
          <w:tab w:val="left" w:pos="1053"/>
        </w:tabs>
        <w:spacing w:before="190" w:after="0" w:line="240" w:lineRule="auto"/>
        <w:ind w:left="1052" w:right="0" w:hanging="243"/>
        <w:jc w:val="left"/>
        <w:rPr>
          <w:sz w:val="32"/>
        </w:rPr>
      </w:pPr>
      <w:r>
        <w:rPr>
          <w:spacing w:val="-4"/>
          <w:sz w:val="32"/>
        </w:rPr>
        <w:t xml:space="preserve">全面了解糖尿病知识，关注个人血糖水平。健康人 </w:t>
      </w:r>
      <w:r>
        <w:rPr>
          <w:rFonts w:ascii="Times New Roman" w:eastAsia="Times New Roman"/>
          <w:sz w:val="32"/>
        </w:rPr>
        <w:t>40</w:t>
      </w:r>
      <w:r>
        <w:rPr>
          <w:rFonts w:ascii="Times New Roman" w:eastAsia="Times New Roman"/>
          <w:spacing w:val="5"/>
          <w:sz w:val="32"/>
        </w:rPr>
        <w:t xml:space="preserve"> </w:t>
      </w:r>
      <w:r>
        <w:rPr>
          <w:sz w:val="32"/>
        </w:rPr>
        <w:t>岁</w:t>
      </w:r>
    </w:p>
    <w:p>
      <w:pPr>
        <w:pStyle w:val="3"/>
        <w:spacing w:before="190" w:line="350" w:lineRule="auto"/>
        <w:ind w:right="261" w:firstLine="0"/>
      </w:pPr>
      <w:r>
        <w:rPr>
          <w:spacing w:val="-9"/>
        </w:rPr>
        <w:t xml:space="preserve">开始每年检测 </w:t>
      </w:r>
      <w:r>
        <w:rPr>
          <w:rFonts w:ascii="Times New Roman" w:hAnsi="Times New Roman" w:eastAsia="Times New Roman"/>
        </w:rPr>
        <w:t xml:space="preserve">1 </w:t>
      </w:r>
      <w:r>
        <w:rPr>
          <w:spacing w:val="4"/>
        </w:rPr>
        <w:t>次空腹血糖。具备以下因素之一，即为糖尿病高危人群：超重与肥胖、高血压、血脂异常、糖尿病家族史、</w:t>
      </w:r>
      <w:r>
        <w:rPr>
          <w:spacing w:val="5"/>
        </w:rPr>
        <w:t>妊娠糖尿病史、巨大儿（出生体重</w:t>
      </w:r>
      <w:r>
        <w:rPr>
          <w:rFonts w:ascii="Times New Roman" w:hAnsi="Times New Roman" w:eastAsia="Times New Roman"/>
          <w:spacing w:val="2"/>
        </w:rPr>
        <w:t>≥4kg</w:t>
      </w:r>
      <w:r>
        <w:rPr>
          <w:spacing w:val="2"/>
        </w:rPr>
        <w:t>）</w:t>
      </w:r>
      <w:r>
        <w:rPr>
          <w:spacing w:val="5"/>
        </w:rPr>
        <w:t>生育史。</w:t>
      </w:r>
      <w:r>
        <w:rPr>
          <w:rFonts w:ascii="Times New Roman" w:hAnsi="Times New Roman" w:eastAsia="Times New Roman"/>
        </w:rPr>
        <w:t xml:space="preserve">6.1mmol/L≤ </w:t>
      </w:r>
      <w:r>
        <w:rPr>
          <w:spacing w:val="-9"/>
        </w:rPr>
        <w:t>空腹血糖</w:t>
      </w:r>
      <w:r>
        <w:rPr>
          <w:spacing w:val="-4"/>
        </w:rPr>
        <w:t>（</w:t>
      </w:r>
      <w:r>
        <w:rPr>
          <w:rFonts w:ascii="Times New Roman" w:hAnsi="Times New Roman" w:eastAsia="Times New Roman"/>
          <w:spacing w:val="-4"/>
        </w:rPr>
        <w:t>FBG</w:t>
      </w:r>
      <w:r>
        <w:rPr>
          <w:spacing w:val="-4"/>
        </w:rPr>
        <w:t>）＜</w:t>
      </w:r>
      <w:r>
        <w:rPr>
          <w:rFonts w:ascii="Times New Roman" w:hAnsi="Times New Roman" w:eastAsia="Times New Roman"/>
          <w:spacing w:val="-4"/>
        </w:rPr>
        <w:t>7.0mmol/L</w:t>
      </w:r>
      <w:r>
        <w:rPr>
          <w:spacing w:val="-29"/>
        </w:rPr>
        <w:t xml:space="preserve">，或 </w:t>
      </w:r>
      <w:r>
        <w:rPr>
          <w:rFonts w:ascii="Times New Roman" w:hAnsi="Times New Roman" w:eastAsia="Times New Roman"/>
        </w:rPr>
        <w:t>7.8mmol/L≤</w:t>
      </w:r>
      <w:r>
        <w:rPr>
          <w:spacing w:val="-21"/>
        </w:rPr>
        <w:t xml:space="preserve">糖负荷 </w:t>
      </w:r>
      <w:r>
        <w:rPr>
          <w:rFonts w:ascii="Times New Roman" w:hAnsi="Times New Roman" w:eastAsia="Times New Roman"/>
        </w:rPr>
        <w:t xml:space="preserve">2 </w:t>
      </w:r>
      <w:r>
        <w:t>小时血</w:t>
      </w:r>
      <w:r>
        <w:rPr>
          <w:spacing w:val="-29"/>
        </w:rPr>
        <w:t>糖</w:t>
      </w:r>
      <w:r>
        <w:rPr>
          <w:spacing w:val="-3"/>
        </w:rPr>
        <w:t>（</w:t>
      </w:r>
      <w:r>
        <w:rPr>
          <w:rFonts w:ascii="Times New Roman" w:hAnsi="Times New Roman" w:eastAsia="Times New Roman"/>
          <w:spacing w:val="-3"/>
        </w:rPr>
        <w:t>2hPG</w:t>
      </w:r>
      <w:r>
        <w:rPr>
          <w:spacing w:val="-3"/>
        </w:rPr>
        <w:t>）＜</w:t>
      </w:r>
      <w:r>
        <w:rPr>
          <w:rFonts w:ascii="Times New Roman" w:hAnsi="Times New Roman" w:eastAsia="Times New Roman"/>
          <w:spacing w:val="-3"/>
        </w:rPr>
        <w:t>11.1mmol/L</w:t>
      </w:r>
      <w:r>
        <w:rPr>
          <w:spacing w:val="-5"/>
        </w:rPr>
        <w:t>，则为糖调节受损，也称糖尿病前期， 属于糖尿病的极高危人群。</w:t>
      </w:r>
    </w:p>
    <w:p>
      <w:pPr>
        <w:pStyle w:val="10"/>
        <w:numPr>
          <w:ilvl w:val="2"/>
          <w:numId w:val="36"/>
        </w:numPr>
        <w:tabs>
          <w:tab w:val="left" w:pos="1060"/>
        </w:tabs>
        <w:spacing w:before="8" w:after="0" w:line="350" w:lineRule="auto"/>
        <w:ind w:left="171" w:right="425" w:firstLine="638"/>
        <w:jc w:val="both"/>
        <w:rPr>
          <w:sz w:val="32"/>
        </w:rPr>
      </w:pPr>
      <w:r>
        <w:rPr>
          <w:spacing w:val="6"/>
          <w:w w:val="95"/>
          <w:sz w:val="32"/>
        </w:rPr>
        <w:t xml:space="preserve">糖尿病前期人群可通过饮食控制和科学运动降低发病风 </w:t>
      </w:r>
      <w:r>
        <w:rPr>
          <w:spacing w:val="-5"/>
          <w:sz w:val="32"/>
        </w:rPr>
        <w:t xml:space="preserve">险，建议每半年检测 </w:t>
      </w:r>
      <w:r>
        <w:rPr>
          <w:rFonts w:ascii="Times New Roman" w:eastAsia="Times New Roman"/>
          <w:sz w:val="32"/>
        </w:rPr>
        <w:t>1</w:t>
      </w:r>
      <w:r>
        <w:rPr>
          <w:rFonts w:ascii="Times New Roman" w:eastAsia="Times New Roman"/>
          <w:spacing w:val="-2"/>
          <w:sz w:val="32"/>
        </w:rPr>
        <w:t xml:space="preserve"> </w:t>
      </w:r>
      <w:r>
        <w:rPr>
          <w:spacing w:val="-6"/>
          <w:sz w:val="32"/>
        </w:rPr>
        <w:t xml:space="preserve">次空腹血糖或餐后 </w:t>
      </w:r>
      <w:r>
        <w:rPr>
          <w:rFonts w:ascii="Times New Roman" w:eastAsia="Times New Roman"/>
          <w:sz w:val="32"/>
        </w:rPr>
        <w:t>2</w:t>
      </w:r>
      <w:r>
        <w:rPr>
          <w:rFonts w:ascii="Times New Roman" w:eastAsia="Times New Roman"/>
          <w:spacing w:val="-1"/>
          <w:sz w:val="32"/>
        </w:rPr>
        <w:t xml:space="preserve"> </w:t>
      </w:r>
      <w:r>
        <w:rPr>
          <w:spacing w:val="4"/>
          <w:sz w:val="32"/>
        </w:rPr>
        <w:t>小时血糖。同时密</w:t>
      </w:r>
      <w:r>
        <w:rPr>
          <w:spacing w:val="4"/>
          <w:w w:val="95"/>
          <w:sz w:val="32"/>
        </w:rPr>
        <w:t xml:space="preserve">切关注其他心脑血管危险因素，并给予适当的干预措施。建议 </w:t>
      </w:r>
      <w:r>
        <w:rPr>
          <w:sz w:val="32"/>
        </w:rPr>
        <w:t>超重或肥胖者使体重指数（</w:t>
      </w:r>
      <w:r>
        <w:rPr>
          <w:rFonts w:ascii="Times New Roman" w:eastAsia="Times New Roman"/>
          <w:sz w:val="32"/>
        </w:rPr>
        <w:t>BMI</w:t>
      </w:r>
      <w:r>
        <w:rPr>
          <w:sz w:val="32"/>
        </w:rPr>
        <w:t>）</w:t>
      </w:r>
      <w:r>
        <w:rPr>
          <w:spacing w:val="-16"/>
          <w:sz w:val="32"/>
        </w:rPr>
        <w:t xml:space="preserve">达到或接近 </w:t>
      </w:r>
      <w:r>
        <w:rPr>
          <w:rFonts w:ascii="Times New Roman" w:eastAsia="Times New Roman"/>
          <w:sz w:val="32"/>
        </w:rPr>
        <w:t>24kg/</w:t>
      </w:r>
      <w:r>
        <w:rPr>
          <w:rFonts w:hint="eastAsia" w:ascii="宋体" w:eastAsia="宋体"/>
          <w:sz w:val="32"/>
        </w:rPr>
        <w:t>㎡</w:t>
      </w:r>
      <w:r>
        <w:rPr>
          <w:spacing w:val="-2"/>
          <w:sz w:val="32"/>
        </w:rPr>
        <w:t>，或体重</w:t>
      </w:r>
    </w:p>
    <w:p>
      <w:pPr>
        <w:spacing w:after="0" w:line="350" w:lineRule="auto"/>
        <w:jc w:val="both"/>
        <w:rPr>
          <w:sz w:val="32"/>
        </w:rPr>
        <w:sectPr>
          <w:pgSz w:w="11910" w:h="16840"/>
          <w:pgMar w:top="1540" w:right="1140" w:bottom="1380" w:left="1400" w:header="0" w:footer="1200" w:gutter="0"/>
        </w:sectPr>
      </w:pPr>
    </w:p>
    <w:p>
      <w:pPr>
        <w:pStyle w:val="3"/>
        <w:spacing w:line="350" w:lineRule="auto"/>
        <w:ind w:right="427" w:firstLine="0"/>
        <w:jc w:val="both"/>
      </w:pPr>
      <w:r>
        <w:rPr>
          <w:spacing w:val="-19"/>
        </w:rPr>
        <w:t xml:space="preserve">至少下降 </w:t>
      </w:r>
      <w:r>
        <w:rPr>
          <w:rFonts w:ascii="Times New Roman" w:eastAsia="Times New Roman"/>
          <w:spacing w:val="-6"/>
        </w:rPr>
        <w:t>7%</w:t>
      </w:r>
      <w:r>
        <w:rPr>
          <w:spacing w:val="-9"/>
        </w:rPr>
        <w:t xml:space="preserve">，每日饮食总热量至少减少 </w:t>
      </w:r>
      <w:r>
        <w:rPr>
          <w:rFonts w:ascii="Times New Roman" w:eastAsia="Times New Roman"/>
        </w:rPr>
        <w:t>400</w:t>
      </w:r>
      <w:r>
        <w:t>～</w:t>
      </w:r>
      <w:r>
        <w:rPr>
          <w:rFonts w:ascii="Times New Roman" w:eastAsia="Times New Roman"/>
        </w:rPr>
        <w:t>500kcal</w:t>
      </w:r>
      <w:r>
        <w:t>，饱和脂</w:t>
      </w:r>
      <w:r>
        <w:rPr>
          <w:spacing w:val="-4"/>
        </w:rPr>
        <w:t xml:space="preserve">肪酸摄入占总脂肪酸摄入的 </w:t>
      </w:r>
      <w:r>
        <w:rPr>
          <w:rFonts w:ascii="Times New Roman" w:eastAsia="Times New Roman"/>
        </w:rPr>
        <w:t>30%</w:t>
      </w:r>
      <w:r>
        <w:rPr>
          <w:spacing w:val="3"/>
        </w:rPr>
        <w:t>以下，中等强度体力活动至少</w:t>
      </w:r>
      <w:r>
        <w:rPr>
          <w:spacing w:val="-21"/>
        </w:rPr>
        <w:t xml:space="preserve">保持在 </w:t>
      </w:r>
      <w:r>
        <w:rPr>
          <w:rFonts w:ascii="Times New Roman" w:eastAsia="Times New Roman"/>
        </w:rPr>
        <w:t>150</w:t>
      </w:r>
      <w:r>
        <w:rPr>
          <w:rFonts w:ascii="Times New Roman" w:eastAsia="Times New Roman"/>
          <w:spacing w:val="79"/>
        </w:rPr>
        <w:t xml:space="preserve"> </w:t>
      </w:r>
      <w:r>
        <w:t>分钟</w:t>
      </w:r>
      <w:r>
        <w:rPr>
          <w:rFonts w:ascii="Times New Roman" w:eastAsia="Times New Roman"/>
        </w:rPr>
        <w:t>/</w:t>
      </w:r>
      <w:r>
        <w:t>周。</w:t>
      </w:r>
    </w:p>
    <w:p>
      <w:pPr>
        <w:pStyle w:val="10"/>
        <w:numPr>
          <w:ilvl w:val="2"/>
          <w:numId w:val="36"/>
        </w:numPr>
        <w:tabs>
          <w:tab w:val="left" w:pos="1053"/>
        </w:tabs>
        <w:spacing w:before="4" w:after="0" w:line="350" w:lineRule="auto"/>
        <w:ind w:left="171" w:right="110" w:firstLine="638"/>
        <w:jc w:val="left"/>
        <w:rPr>
          <w:sz w:val="32"/>
        </w:rPr>
      </w:pPr>
      <w:r>
        <w:rPr>
          <w:sz w:val="32"/>
        </w:rPr>
        <w:t>糖尿病患者加强健康管理。如出现糖尿病典型症状</w:t>
      </w:r>
      <w:r>
        <w:rPr>
          <w:spacing w:val="3"/>
          <w:sz w:val="32"/>
        </w:rPr>
        <w:t>（</w:t>
      </w:r>
      <w:r>
        <w:rPr>
          <w:rFonts w:ascii="Times New Roman" w:hAnsi="Times New Roman" w:eastAsia="Times New Roman"/>
          <w:spacing w:val="3"/>
          <w:sz w:val="32"/>
        </w:rPr>
        <w:t>“</w:t>
      </w:r>
      <w:r>
        <w:rPr>
          <w:sz w:val="32"/>
        </w:rPr>
        <w:t xml:space="preserve">三 </w:t>
      </w:r>
      <w:r>
        <w:rPr>
          <w:w w:val="95"/>
          <w:sz w:val="32"/>
        </w:rPr>
        <w:t>多一少</w:t>
      </w:r>
      <w:r>
        <w:rPr>
          <w:rFonts w:ascii="Times New Roman" w:hAnsi="Times New Roman" w:eastAsia="Times New Roman"/>
          <w:w w:val="95"/>
          <w:sz w:val="32"/>
        </w:rPr>
        <w:t>”</w:t>
      </w:r>
      <w:r>
        <w:rPr>
          <w:spacing w:val="-30"/>
          <w:w w:val="95"/>
          <w:sz w:val="32"/>
        </w:rPr>
        <w:t>即多饮、多食、多尿、体重减轻</w:t>
      </w:r>
      <w:r>
        <w:rPr>
          <w:spacing w:val="-125"/>
          <w:w w:val="95"/>
          <w:sz w:val="32"/>
        </w:rPr>
        <w:t>）</w:t>
      </w:r>
      <w:r>
        <w:rPr>
          <w:w w:val="95"/>
          <w:sz w:val="32"/>
        </w:rPr>
        <w:t>且随机血糖</w:t>
      </w:r>
      <w:r>
        <w:rPr>
          <w:rFonts w:ascii="Times New Roman" w:hAnsi="Times New Roman" w:eastAsia="Times New Roman"/>
          <w:w w:val="95"/>
          <w:sz w:val="32"/>
        </w:rPr>
        <w:t>≥11.1mmol/L</w:t>
      </w:r>
      <w:r>
        <w:rPr>
          <w:w w:val="95"/>
          <w:sz w:val="32"/>
        </w:rPr>
        <w:t xml:space="preserve">，  </w:t>
      </w:r>
      <w:r>
        <w:rPr>
          <w:sz w:val="32"/>
        </w:rPr>
        <w:t>或空腹血糖</w:t>
      </w:r>
      <w:r>
        <w:rPr>
          <w:rFonts w:ascii="Times New Roman" w:hAnsi="Times New Roman" w:eastAsia="Times New Roman"/>
          <w:sz w:val="32"/>
        </w:rPr>
        <w:t>≥7.0mmol/L</w:t>
      </w:r>
      <w:r>
        <w:rPr>
          <w:spacing w:val="-15"/>
          <w:sz w:val="32"/>
        </w:rPr>
        <w:t xml:space="preserve">，或糖负荷 </w:t>
      </w:r>
      <w:r>
        <w:rPr>
          <w:rFonts w:ascii="Times New Roman" w:hAnsi="Times New Roman" w:eastAsia="Times New Roman"/>
          <w:sz w:val="32"/>
        </w:rPr>
        <w:t>2</w:t>
      </w:r>
      <w:r>
        <w:rPr>
          <w:rFonts w:ascii="Times New Roman" w:hAnsi="Times New Roman" w:eastAsia="Times New Roman"/>
          <w:spacing w:val="-9"/>
          <w:sz w:val="32"/>
        </w:rPr>
        <w:t xml:space="preserve"> </w:t>
      </w:r>
      <w:r>
        <w:rPr>
          <w:sz w:val="32"/>
        </w:rPr>
        <w:t>小时血糖</w:t>
      </w:r>
      <w:r>
        <w:rPr>
          <w:rFonts w:ascii="Times New Roman" w:hAnsi="Times New Roman" w:eastAsia="Times New Roman"/>
          <w:sz w:val="32"/>
        </w:rPr>
        <w:t>≥11.1mmol/L</w:t>
      </w:r>
      <w:r>
        <w:rPr>
          <w:sz w:val="32"/>
        </w:rPr>
        <w:t>，可</w:t>
      </w:r>
      <w:r>
        <w:rPr>
          <w:spacing w:val="4"/>
          <w:sz w:val="32"/>
        </w:rPr>
        <w:t>诊断为糖尿病。建议糖尿病患者定期监测血糖和血脂，控制饮</w:t>
      </w:r>
      <w:r>
        <w:rPr>
          <w:spacing w:val="-6"/>
          <w:sz w:val="32"/>
        </w:rPr>
        <w:t>食，科学运动，戒烟限酒，遵医嘱用药，定期进行并发症检查。</w:t>
      </w:r>
    </w:p>
    <w:p>
      <w:pPr>
        <w:pStyle w:val="10"/>
        <w:numPr>
          <w:ilvl w:val="2"/>
          <w:numId w:val="36"/>
        </w:numPr>
        <w:tabs>
          <w:tab w:val="left" w:pos="1052"/>
        </w:tabs>
        <w:spacing w:before="7" w:after="0" w:line="350" w:lineRule="auto"/>
        <w:ind w:left="171" w:right="270" w:firstLine="638"/>
        <w:jc w:val="left"/>
        <w:rPr>
          <w:sz w:val="32"/>
        </w:rPr>
      </w:pPr>
      <w:r>
        <w:rPr>
          <w:spacing w:val="-11"/>
          <w:sz w:val="32"/>
        </w:rPr>
        <w:t>注重膳食营养。糖尿病患者的饮食可参照《中国糖尿病膳</w:t>
      </w:r>
      <w:r>
        <w:rPr>
          <w:spacing w:val="5"/>
          <w:sz w:val="32"/>
        </w:rPr>
        <w:t>食指南》，做到：合理饮食，主食定量</w:t>
      </w:r>
      <w:r>
        <w:rPr>
          <w:spacing w:val="7"/>
          <w:sz w:val="32"/>
        </w:rPr>
        <w:t>（</w:t>
      </w:r>
      <w:r>
        <w:rPr>
          <w:spacing w:val="5"/>
          <w:sz w:val="32"/>
        </w:rPr>
        <w:t>摄入量因人而异</w:t>
      </w:r>
      <w:r>
        <w:rPr>
          <w:spacing w:val="2"/>
          <w:sz w:val="32"/>
        </w:rPr>
        <w:t xml:space="preserve">）， </w:t>
      </w:r>
      <w:r>
        <w:rPr>
          <w:spacing w:val="5"/>
          <w:sz w:val="32"/>
        </w:rPr>
        <w:t>建议选择低血糖生成指数</w:t>
      </w:r>
      <w:r>
        <w:rPr>
          <w:spacing w:val="2"/>
          <w:sz w:val="32"/>
        </w:rPr>
        <w:t>（</w:t>
      </w:r>
      <w:r>
        <w:rPr>
          <w:rFonts w:ascii="Times New Roman" w:eastAsia="Times New Roman"/>
          <w:spacing w:val="2"/>
          <w:sz w:val="32"/>
        </w:rPr>
        <w:t>GI</w:t>
      </w:r>
      <w:r>
        <w:rPr>
          <w:spacing w:val="2"/>
          <w:sz w:val="32"/>
        </w:rPr>
        <w:t>）</w:t>
      </w:r>
      <w:r>
        <w:rPr>
          <w:spacing w:val="4"/>
          <w:sz w:val="32"/>
        </w:rPr>
        <w:t>食物，全谷物、杂豆类占主食</w:t>
      </w:r>
      <w:r>
        <w:rPr>
          <w:spacing w:val="6"/>
          <w:sz w:val="32"/>
        </w:rPr>
        <w:t>摄入量的三分之一；建议餐餐有蔬菜，两餐之间适量选择低</w:t>
      </w:r>
      <w:r>
        <w:rPr>
          <w:rFonts w:ascii="Times New Roman" w:eastAsia="Times New Roman"/>
          <w:sz w:val="32"/>
        </w:rPr>
        <w:t xml:space="preserve">GI </w:t>
      </w:r>
      <w:r>
        <w:rPr>
          <w:spacing w:val="-6"/>
          <w:sz w:val="32"/>
        </w:rPr>
        <w:t xml:space="preserve">水果；每周不超过 </w:t>
      </w:r>
      <w:r>
        <w:rPr>
          <w:rFonts w:ascii="Times New Roman" w:eastAsia="Times New Roman"/>
          <w:sz w:val="32"/>
        </w:rPr>
        <w:t>4</w:t>
      </w:r>
      <w:r>
        <w:rPr>
          <w:rFonts w:ascii="Times New Roman" w:eastAsia="Times New Roman"/>
          <w:spacing w:val="1"/>
          <w:sz w:val="32"/>
        </w:rPr>
        <w:t xml:space="preserve"> </w:t>
      </w:r>
      <w:r>
        <w:rPr>
          <w:spacing w:val="-7"/>
          <w:sz w:val="32"/>
        </w:rPr>
        <w:t xml:space="preserve">个鸡蛋或每两天 </w:t>
      </w:r>
      <w:r>
        <w:rPr>
          <w:rFonts w:ascii="Times New Roman" w:eastAsia="Times New Roman"/>
          <w:sz w:val="32"/>
        </w:rPr>
        <w:t xml:space="preserve">1 </w:t>
      </w:r>
      <w:r>
        <w:rPr>
          <w:spacing w:val="4"/>
          <w:sz w:val="32"/>
        </w:rPr>
        <w:t>个鸡蛋，不弃蛋黄；奶</w:t>
      </w:r>
      <w:r>
        <w:rPr>
          <w:spacing w:val="-1"/>
          <w:sz w:val="32"/>
        </w:rPr>
        <w:t xml:space="preserve">类豆类天天有，零食加餐可选择少许坚果；烹调注意少油少盐； </w:t>
      </w:r>
      <w:r>
        <w:rPr>
          <w:spacing w:val="4"/>
          <w:sz w:val="32"/>
        </w:rPr>
        <w:t>推荐饮用白开水，不饮酒；进餐定时定量，控制进餐速度，细嚼慢咽。进餐顺序宜为先吃蔬菜、再吃肉类、最后吃主食。</w:t>
      </w:r>
    </w:p>
    <w:p>
      <w:pPr>
        <w:pStyle w:val="10"/>
        <w:numPr>
          <w:ilvl w:val="2"/>
          <w:numId w:val="36"/>
        </w:numPr>
        <w:tabs>
          <w:tab w:val="left" w:pos="1052"/>
        </w:tabs>
        <w:spacing w:before="11" w:after="0" w:line="350" w:lineRule="auto"/>
        <w:ind w:left="171" w:right="270" w:firstLine="638"/>
        <w:jc w:val="left"/>
        <w:rPr>
          <w:sz w:val="32"/>
        </w:rPr>
      </w:pPr>
      <w:r>
        <w:rPr>
          <w:spacing w:val="-12"/>
          <w:sz w:val="32"/>
        </w:rPr>
        <w:t>科学运动。糖尿病患者要遵守合适的运动促进健康指导方</w:t>
      </w:r>
      <w:r>
        <w:rPr>
          <w:spacing w:val="-1"/>
          <w:sz w:val="32"/>
        </w:rPr>
        <w:t xml:space="preserve">法并及时作出必要的调整。每周至少有 </w:t>
      </w:r>
      <w:r>
        <w:rPr>
          <w:rFonts w:ascii="Times New Roman" w:eastAsia="Times New Roman"/>
          <w:sz w:val="32"/>
        </w:rPr>
        <w:t>5</w:t>
      </w:r>
      <w:r>
        <w:rPr>
          <w:rFonts w:ascii="Times New Roman" w:eastAsia="Times New Roman"/>
          <w:spacing w:val="-2"/>
          <w:sz w:val="32"/>
        </w:rPr>
        <w:t xml:space="preserve"> </w:t>
      </w:r>
      <w:r>
        <w:rPr>
          <w:spacing w:val="4"/>
          <w:sz w:val="32"/>
        </w:rPr>
        <w:t>天，每天半小时以上</w:t>
      </w:r>
      <w:r>
        <w:rPr>
          <w:spacing w:val="-2"/>
          <w:w w:val="95"/>
          <w:sz w:val="32"/>
        </w:rPr>
        <w:t xml:space="preserve">的中等量运动，适合糖尿病患者的运动有走步、游泳、太极拳、 </w:t>
      </w:r>
      <w:r>
        <w:rPr>
          <w:spacing w:val="4"/>
          <w:sz w:val="32"/>
        </w:rPr>
        <w:t>广场舞等。运动时需防止低血糖和跌倒摔伤。不建议老年患者参加剧烈运动。血糖控制极差且伴有急性并发症或严重慢性并发症时，不宜采取运动疗法。</w:t>
      </w:r>
    </w:p>
    <w:p>
      <w:pPr>
        <w:pStyle w:val="2"/>
        <w:spacing w:before="9"/>
        <w:rPr>
          <w:rFonts w:hint="eastAsia" w:ascii="仿宋" w:hAnsi="仿宋" w:eastAsia="仿宋"/>
        </w:rPr>
      </w:pPr>
      <w:bookmarkStart w:id="81" w:name="——社会和政府："/>
      <w:bookmarkEnd w:id="81"/>
      <w:r>
        <w:rPr>
          <w:rFonts w:ascii="Times New Roman" w:hAnsi="Times New Roman" w:eastAsia="Times New Roman"/>
        </w:rPr>
        <w:t>——</w:t>
      </w:r>
      <w:r>
        <w:rPr>
          <w:rFonts w:hint="eastAsia" w:ascii="仿宋" w:hAnsi="仿宋" w:eastAsia="仿宋"/>
        </w:rPr>
        <w:t>社会和政府：</w:t>
      </w:r>
    </w:p>
    <w:p>
      <w:pPr>
        <w:spacing w:after="0"/>
        <w:rPr>
          <w:rFonts w:hint="eastAsia" w:ascii="仿宋" w:hAnsi="仿宋" w:eastAsia="仿宋"/>
        </w:rPr>
        <w:sectPr>
          <w:pgSz w:w="11910" w:h="16840"/>
          <w:pgMar w:top="1540" w:right="1140" w:bottom="1380" w:left="1400" w:header="0" w:footer="1200" w:gutter="0"/>
        </w:sectPr>
      </w:pPr>
    </w:p>
    <w:p>
      <w:pPr>
        <w:pStyle w:val="10"/>
        <w:numPr>
          <w:ilvl w:val="0"/>
          <w:numId w:val="37"/>
        </w:numPr>
        <w:tabs>
          <w:tab w:val="left" w:pos="1060"/>
        </w:tabs>
        <w:spacing w:before="43" w:after="0" w:line="350" w:lineRule="auto"/>
        <w:ind w:left="171" w:right="429" w:firstLine="638"/>
        <w:jc w:val="both"/>
        <w:rPr>
          <w:sz w:val="32"/>
        </w:rPr>
      </w:pPr>
      <w:r>
        <w:rPr>
          <w:spacing w:val="6"/>
          <w:w w:val="95"/>
          <w:sz w:val="32"/>
        </w:rPr>
        <w:t xml:space="preserve">承担国家公共卫生服务项目的基层医疗卫生机构应为辖 </w:t>
      </w:r>
      <w:r>
        <w:rPr>
          <w:spacing w:val="-27"/>
          <w:sz w:val="32"/>
        </w:rPr>
        <w:t xml:space="preserve">区内 </w:t>
      </w:r>
      <w:r>
        <w:rPr>
          <w:rFonts w:ascii="Times New Roman" w:eastAsia="Times New Roman"/>
          <w:sz w:val="32"/>
        </w:rPr>
        <w:t>35</w:t>
      </w:r>
      <w:r>
        <w:rPr>
          <w:rFonts w:ascii="Times New Roman" w:eastAsia="Times New Roman"/>
          <w:spacing w:val="-11"/>
          <w:sz w:val="32"/>
        </w:rPr>
        <w:t xml:space="preserve"> </w:t>
      </w:r>
      <w:r>
        <w:rPr>
          <w:spacing w:val="-10"/>
          <w:sz w:val="32"/>
        </w:rPr>
        <w:t xml:space="preserve">岁及以上常住居民中 </w:t>
      </w:r>
      <w:r>
        <w:rPr>
          <w:rFonts w:ascii="Times New Roman" w:eastAsia="Times New Roman"/>
          <w:sz w:val="32"/>
        </w:rPr>
        <w:t>2</w:t>
      </w:r>
      <w:r>
        <w:rPr>
          <w:rFonts w:ascii="Times New Roman" w:eastAsia="Times New Roman"/>
          <w:spacing w:val="-11"/>
          <w:sz w:val="32"/>
        </w:rPr>
        <w:t xml:space="preserve"> </w:t>
      </w:r>
      <w:r>
        <w:rPr>
          <w:sz w:val="32"/>
        </w:rPr>
        <w:t>型糖尿病患者提供规范的健康管</w:t>
      </w:r>
    </w:p>
    <w:p>
      <w:pPr>
        <w:pStyle w:val="3"/>
        <w:spacing w:before="3" w:line="350" w:lineRule="auto"/>
        <w:ind w:right="432" w:firstLine="0"/>
        <w:jc w:val="both"/>
        <w:rPr>
          <w:rFonts w:hint="eastAsia" w:ascii="楷体" w:eastAsia="楷体"/>
        </w:rPr>
      </w:pPr>
      <w:r>
        <w:t xml:space="preserve">理服务，对 </w:t>
      </w:r>
      <w:r>
        <w:rPr>
          <w:rFonts w:ascii="Times New Roman" w:eastAsia="Times New Roman"/>
        </w:rPr>
        <w:t xml:space="preserve">2 </w:t>
      </w:r>
      <w:r>
        <w:t>型糖尿病高危人群进行针对性的健康教育。</w:t>
      </w:r>
      <w:r>
        <w:rPr>
          <w:rFonts w:hint="eastAsia" w:ascii="楷体" w:eastAsia="楷体"/>
        </w:rPr>
        <w:t>（卫生健康委牵头，财政部按职责负责）</w:t>
      </w:r>
    </w:p>
    <w:p>
      <w:pPr>
        <w:pStyle w:val="10"/>
        <w:numPr>
          <w:ilvl w:val="0"/>
          <w:numId w:val="37"/>
        </w:numPr>
        <w:tabs>
          <w:tab w:val="left" w:pos="1052"/>
        </w:tabs>
        <w:spacing w:before="2" w:after="0" w:line="350" w:lineRule="auto"/>
        <w:ind w:left="171" w:right="429" w:firstLine="638"/>
        <w:jc w:val="both"/>
        <w:rPr>
          <w:rFonts w:hint="eastAsia" w:ascii="楷体" w:eastAsia="楷体"/>
          <w:sz w:val="32"/>
        </w:rPr>
      </w:pPr>
      <w:r>
        <w:rPr>
          <w:spacing w:val="-8"/>
          <w:sz w:val="32"/>
        </w:rPr>
        <w:t>落实糖尿病分级诊疗服务技术规范，鼓励医疗机构为糖尿</w:t>
      </w:r>
      <w:r>
        <w:rPr>
          <w:spacing w:val="4"/>
          <w:w w:val="95"/>
          <w:sz w:val="32"/>
        </w:rPr>
        <w:t xml:space="preserve">病患者开展饮食控制指导和运动促进健康指导，对患者开展自 </w:t>
      </w:r>
      <w:r>
        <w:rPr>
          <w:spacing w:val="5"/>
          <w:w w:val="95"/>
          <w:sz w:val="32"/>
        </w:rPr>
        <w:t>我血糖监测和健康管理进行指导。</w:t>
      </w:r>
      <w:r>
        <w:rPr>
          <w:rFonts w:hint="eastAsia" w:ascii="楷体" w:eastAsia="楷体"/>
          <w:spacing w:val="5"/>
          <w:w w:val="95"/>
          <w:sz w:val="32"/>
        </w:rPr>
        <w:t>（</w:t>
      </w:r>
      <w:r>
        <w:rPr>
          <w:rFonts w:hint="eastAsia" w:ascii="楷体" w:eastAsia="楷体"/>
          <w:spacing w:val="3"/>
          <w:w w:val="95"/>
          <w:sz w:val="32"/>
        </w:rPr>
        <w:t xml:space="preserve">卫生健康委牵头，体育总 </w:t>
      </w:r>
      <w:r>
        <w:rPr>
          <w:rFonts w:hint="eastAsia" w:ascii="楷体" w:eastAsia="楷体"/>
          <w:sz w:val="32"/>
        </w:rPr>
        <w:t>局、中医药局按职责分工负责）</w:t>
      </w:r>
    </w:p>
    <w:p>
      <w:pPr>
        <w:pStyle w:val="10"/>
        <w:numPr>
          <w:ilvl w:val="0"/>
          <w:numId w:val="37"/>
        </w:numPr>
        <w:tabs>
          <w:tab w:val="left" w:pos="1052"/>
        </w:tabs>
        <w:spacing w:before="6" w:after="0" w:line="350" w:lineRule="auto"/>
        <w:ind w:left="171" w:right="429" w:firstLine="638"/>
        <w:jc w:val="both"/>
        <w:rPr>
          <w:rFonts w:hint="eastAsia" w:ascii="楷体" w:eastAsia="楷体"/>
          <w:sz w:val="32"/>
        </w:rPr>
      </w:pPr>
      <w:r>
        <w:rPr>
          <w:spacing w:val="-7"/>
          <w:sz w:val="32"/>
        </w:rPr>
        <w:t>促进基层糖尿病及并发症筛查标准化，提高医务人员对糖</w:t>
      </w:r>
      <w:r>
        <w:rPr>
          <w:spacing w:val="4"/>
          <w:w w:val="95"/>
          <w:sz w:val="32"/>
        </w:rPr>
        <w:t xml:space="preserve">尿病及其并发症的早期发现、规范化诊疗和治疗能力。及早干 预治疗糖尿病视网膜病变、糖尿病伴肾脏损害、糖尿病足等并 </w:t>
      </w:r>
      <w:r>
        <w:rPr>
          <w:spacing w:val="5"/>
          <w:w w:val="95"/>
          <w:sz w:val="32"/>
        </w:rPr>
        <w:t>发症，延缓并发症进展，降低致残率和致死率。</w:t>
      </w:r>
      <w:r>
        <w:rPr>
          <w:rFonts w:hint="eastAsia" w:ascii="楷体" w:eastAsia="楷体"/>
          <w:spacing w:val="5"/>
          <w:w w:val="95"/>
          <w:sz w:val="32"/>
        </w:rPr>
        <w:t>（</w:t>
      </w:r>
      <w:r>
        <w:rPr>
          <w:rFonts w:hint="eastAsia" w:ascii="楷体" w:eastAsia="楷体"/>
          <w:spacing w:val="1"/>
          <w:w w:val="95"/>
          <w:sz w:val="32"/>
        </w:rPr>
        <w:t xml:space="preserve">卫生健康委 </w:t>
      </w:r>
      <w:r>
        <w:rPr>
          <w:rFonts w:hint="eastAsia" w:ascii="楷体" w:eastAsia="楷体"/>
          <w:sz w:val="32"/>
        </w:rPr>
        <w:t>牵头，财政部按职责负责）</w:t>
      </w:r>
    </w:p>
    <w:p>
      <w:pPr>
        <w:pStyle w:val="10"/>
        <w:numPr>
          <w:ilvl w:val="0"/>
          <w:numId w:val="37"/>
        </w:numPr>
        <w:tabs>
          <w:tab w:val="left" w:pos="1053"/>
        </w:tabs>
        <w:spacing w:before="7" w:after="0" w:line="350" w:lineRule="auto"/>
        <w:ind w:left="171" w:right="429" w:firstLine="638"/>
        <w:jc w:val="both"/>
        <w:rPr>
          <w:rFonts w:hint="eastAsia" w:ascii="楷体" w:hAnsi="楷体" w:eastAsia="楷体"/>
          <w:sz w:val="32"/>
        </w:rPr>
      </w:pPr>
      <w:r>
        <w:rPr>
          <w:sz w:val="32"/>
        </w:rPr>
        <w:t>依托区域全民健康信息平台，推进</w:t>
      </w:r>
      <w:r>
        <w:rPr>
          <w:rFonts w:ascii="Times New Roman" w:hAnsi="Times New Roman" w:eastAsia="Times New Roman"/>
          <w:spacing w:val="4"/>
          <w:sz w:val="32"/>
        </w:rPr>
        <w:t>“</w:t>
      </w:r>
      <w:r>
        <w:rPr>
          <w:spacing w:val="1"/>
          <w:sz w:val="32"/>
        </w:rPr>
        <w:t>互联网</w:t>
      </w:r>
      <w:r>
        <w:rPr>
          <w:rFonts w:ascii="Times New Roman" w:hAnsi="Times New Roman" w:eastAsia="Times New Roman"/>
          <w:sz w:val="32"/>
        </w:rPr>
        <w:t>+</w:t>
      </w:r>
      <w:r>
        <w:rPr>
          <w:spacing w:val="2"/>
          <w:sz w:val="32"/>
        </w:rPr>
        <w:t>公共卫生</w:t>
      </w:r>
      <w:r>
        <w:rPr>
          <w:rFonts w:ascii="Times New Roman" w:hAnsi="Times New Roman" w:eastAsia="Times New Roman"/>
          <w:sz w:val="32"/>
        </w:rPr>
        <w:t>”</w:t>
      </w:r>
      <w:r>
        <w:rPr>
          <w:sz w:val="32"/>
        </w:rPr>
        <w:t>服</w:t>
      </w:r>
      <w:r>
        <w:rPr>
          <w:spacing w:val="4"/>
          <w:w w:val="95"/>
          <w:sz w:val="32"/>
        </w:rPr>
        <w:t xml:space="preserve">务，充分利用信息技术丰富糖尿病健康管理手段，创新健康服 </w:t>
      </w:r>
      <w:r>
        <w:rPr>
          <w:spacing w:val="5"/>
          <w:w w:val="95"/>
          <w:sz w:val="32"/>
        </w:rPr>
        <w:t>务模式，提高管理效果。</w:t>
      </w:r>
      <w:r>
        <w:rPr>
          <w:rFonts w:hint="eastAsia" w:ascii="楷体" w:hAnsi="楷体" w:eastAsia="楷体"/>
          <w:spacing w:val="5"/>
          <w:w w:val="95"/>
          <w:sz w:val="32"/>
        </w:rPr>
        <w:t>（</w:t>
      </w:r>
      <w:r>
        <w:rPr>
          <w:rFonts w:hint="eastAsia" w:ascii="楷体" w:hAnsi="楷体" w:eastAsia="楷体"/>
          <w:spacing w:val="3"/>
          <w:w w:val="95"/>
          <w:sz w:val="32"/>
        </w:rPr>
        <w:t xml:space="preserve">卫生健康委牵头，发展改革委、财 </w:t>
      </w:r>
      <w:r>
        <w:rPr>
          <w:rFonts w:hint="eastAsia" w:ascii="楷体" w:hAnsi="楷体" w:eastAsia="楷体"/>
          <w:sz w:val="32"/>
        </w:rPr>
        <w:t>政部按职责分工负责）</w:t>
      </w:r>
    </w:p>
    <w:p>
      <w:pPr>
        <w:pStyle w:val="2"/>
        <w:spacing w:before="5"/>
      </w:pPr>
      <w:bookmarkStart w:id="82" w:name="_TOC_250000"/>
      <w:bookmarkEnd w:id="82"/>
      <w:r>
        <w:t>（十五）传染病及地方病防控行动。</w:t>
      </w:r>
    </w:p>
    <w:p>
      <w:pPr>
        <w:pStyle w:val="3"/>
        <w:spacing w:before="190" w:line="350" w:lineRule="auto"/>
        <w:jc w:val="both"/>
      </w:pPr>
      <w:r>
        <w:rPr>
          <w:spacing w:val="4"/>
          <w:w w:val="95"/>
        </w:rPr>
        <w:t xml:space="preserve">近年来，我国传染病疫情总体形势稳中有降，但防控形势 依然严峻。性传播成为艾滋病的主要传播途径，疫情逐步由易 感染艾滋病危险行为人群向一般人群传播，波及范围广，影响 </w:t>
      </w:r>
      <w:r>
        <w:rPr>
          <w:spacing w:val="-8"/>
        </w:rPr>
        <w:t xml:space="preserve">因素复杂，干预难度大；现有慢性乙肝患者约 </w:t>
      </w:r>
      <w:r>
        <w:rPr>
          <w:rFonts w:ascii="Times New Roman" w:eastAsia="Times New Roman"/>
        </w:rPr>
        <w:t>2800</w:t>
      </w:r>
      <w:r>
        <w:rPr>
          <w:rFonts w:ascii="Times New Roman" w:eastAsia="Times New Roman"/>
          <w:spacing w:val="-7"/>
        </w:rPr>
        <w:t xml:space="preserve"> </w:t>
      </w:r>
      <w:r>
        <w:rPr>
          <w:spacing w:val="-3"/>
        </w:rPr>
        <w:t>万人，慢性</w:t>
      </w:r>
    </w:p>
    <w:p>
      <w:pPr>
        <w:pStyle w:val="3"/>
        <w:spacing w:before="6"/>
        <w:ind w:right="0" w:firstLine="0"/>
        <w:jc w:val="both"/>
      </w:pPr>
      <w:r>
        <w:rPr>
          <w:spacing w:val="-14"/>
        </w:rPr>
        <w:t xml:space="preserve">丙肝患者约 </w:t>
      </w:r>
      <w:r>
        <w:rPr>
          <w:rFonts w:ascii="Times New Roman" w:eastAsia="Times New Roman"/>
        </w:rPr>
        <w:t>450</w:t>
      </w:r>
      <w:r>
        <w:rPr>
          <w:rFonts w:ascii="Times New Roman" w:eastAsia="Times New Roman"/>
          <w:spacing w:val="-4"/>
        </w:rPr>
        <w:t xml:space="preserve"> </w:t>
      </w:r>
      <w:r>
        <w:rPr>
          <w:spacing w:val="-10"/>
        </w:rPr>
        <w:t xml:space="preserve">万，每年新发结核病患者约 </w:t>
      </w:r>
      <w:r>
        <w:rPr>
          <w:rFonts w:ascii="Times New Roman" w:eastAsia="Times New Roman"/>
        </w:rPr>
        <w:t>90</w:t>
      </w:r>
      <w:r>
        <w:rPr>
          <w:rFonts w:ascii="Times New Roman" w:eastAsia="Times New Roman"/>
          <w:spacing w:val="-6"/>
        </w:rPr>
        <w:t xml:space="preserve"> </w:t>
      </w:r>
      <w:r>
        <w:rPr>
          <w:spacing w:val="-4"/>
        </w:rPr>
        <w:t>万例。包虫病等</w:t>
      </w:r>
    </w:p>
    <w:p>
      <w:pPr>
        <w:spacing w:after="0"/>
        <w:jc w:val="both"/>
        <w:sectPr>
          <w:pgSz w:w="11910" w:h="16840"/>
          <w:pgMar w:top="1540" w:right="1140" w:bottom="1380" w:left="1400" w:header="0" w:footer="1200" w:gutter="0"/>
        </w:sectPr>
      </w:pPr>
    </w:p>
    <w:p>
      <w:pPr>
        <w:pStyle w:val="3"/>
        <w:spacing w:line="350" w:lineRule="auto"/>
        <w:ind w:right="426" w:firstLine="0"/>
        <w:jc w:val="both"/>
      </w:pPr>
      <w:r>
        <w:rPr>
          <w:spacing w:val="4"/>
          <w:w w:val="95"/>
        </w:rPr>
        <w:t xml:space="preserve">重点寄生虫病仍然严重威胁流行地区居民的健康。地方病流行 </w:t>
      </w:r>
      <w:r>
        <w:rPr>
          <w:spacing w:val="-1"/>
        </w:rPr>
        <w:t>区域广、受威胁人口多，</w:t>
      </w:r>
      <w:r>
        <w:rPr>
          <w:rFonts w:ascii="Times New Roman" w:eastAsia="Times New Roman"/>
        </w:rPr>
        <w:t>40%</w:t>
      </w:r>
      <w:r>
        <w:rPr>
          <w:spacing w:val="-22"/>
        </w:rPr>
        <w:t xml:space="preserve">的县有 </w:t>
      </w:r>
      <w:r>
        <w:rPr>
          <w:rFonts w:ascii="Times New Roman" w:eastAsia="Times New Roman"/>
        </w:rPr>
        <w:t>1</w:t>
      </w:r>
      <w:r>
        <w:rPr>
          <w:rFonts w:ascii="Times New Roman" w:eastAsia="Times New Roman"/>
          <w:spacing w:val="-5"/>
        </w:rPr>
        <w:t xml:space="preserve"> </w:t>
      </w:r>
      <w:r>
        <w:t>种地方病，</w:t>
      </w:r>
      <w:r>
        <w:rPr>
          <w:rFonts w:ascii="Times New Roman" w:eastAsia="Times New Roman"/>
        </w:rPr>
        <w:t>22%</w:t>
      </w:r>
      <w:r>
        <w:rPr>
          <w:spacing w:val="-21"/>
        </w:rPr>
        <w:t xml:space="preserve">的县有 </w:t>
      </w:r>
      <w:r>
        <w:rPr>
          <w:rFonts w:ascii="Times New Roman" w:eastAsia="Times New Roman"/>
        </w:rPr>
        <w:t xml:space="preserve">3 </w:t>
      </w:r>
      <w:r>
        <w:rPr>
          <w:spacing w:val="4"/>
          <w:w w:val="95"/>
        </w:rPr>
        <w:t>种以上的地方病。地方病重点地区与贫困地区高度重合，全国</w:t>
      </w:r>
      <w:r>
        <w:rPr>
          <w:rFonts w:ascii="Times New Roman" w:eastAsia="Times New Roman"/>
        </w:rPr>
        <w:t>832</w:t>
      </w:r>
      <w:r>
        <w:rPr>
          <w:rFonts w:ascii="Times New Roman" w:eastAsia="Times New Roman"/>
          <w:spacing w:val="3"/>
        </w:rPr>
        <w:t xml:space="preserve"> </w:t>
      </w:r>
      <w:r>
        <w:t>个国家级贫困县中，</w:t>
      </w:r>
      <w:r>
        <w:rPr>
          <w:rFonts w:ascii="Times New Roman" w:eastAsia="Times New Roman"/>
        </w:rPr>
        <w:t>831</w:t>
      </w:r>
      <w:r>
        <w:rPr>
          <w:rFonts w:ascii="Times New Roman" w:eastAsia="Times New Roman"/>
          <w:spacing w:val="6"/>
        </w:rPr>
        <w:t xml:space="preserve"> </w:t>
      </w:r>
      <w:r>
        <w:t>个县有碘缺乏病，</w:t>
      </w:r>
      <w:r>
        <w:rPr>
          <w:rFonts w:ascii="Times New Roman" w:eastAsia="Times New Roman"/>
        </w:rPr>
        <w:t>584</w:t>
      </w:r>
      <w:r>
        <w:rPr>
          <w:rFonts w:ascii="Times New Roman" w:eastAsia="Times New Roman"/>
          <w:spacing w:val="4"/>
        </w:rPr>
        <w:t xml:space="preserve"> </w:t>
      </w:r>
      <w:r>
        <w:t>个县有饮水</w:t>
      </w:r>
      <w:r>
        <w:rPr>
          <w:spacing w:val="4"/>
          <w:w w:val="95"/>
        </w:rPr>
        <w:t xml:space="preserve">型氟中毒、饮茶型地氟病、大骨节病、克山病等，因病致贫、 返贫现象突出。加大传染病及地方病防治工作力度是维护人民 </w:t>
      </w:r>
      <w:r>
        <w:t>健康的迫切需要，也是健康扶贫的重要举措。</w:t>
      </w:r>
    </w:p>
    <w:p>
      <w:pPr>
        <w:pStyle w:val="3"/>
        <w:spacing w:before="10"/>
        <w:ind w:left="810" w:right="0" w:firstLine="0"/>
        <w:rPr>
          <w:rFonts w:hint="eastAsia" w:ascii="黑体" w:eastAsia="黑体"/>
        </w:rPr>
      </w:pPr>
      <w:r>
        <w:rPr>
          <w:rFonts w:hint="eastAsia" w:ascii="黑体" w:eastAsia="黑体"/>
        </w:rPr>
        <w:t>行动目标：</w:t>
      </w:r>
    </w:p>
    <w:p>
      <w:pPr>
        <w:pStyle w:val="3"/>
        <w:spacing w:before="189" w:line="350" w:lineRule="auto"/>
        <w:ind w:right="427"/>
        <w:jc w:val="both"/>
      </w:pPr>
      <w:r>
        <w:rPr>
          <w:spacing w:val="-32"/>
        </w:rPr>
        <w:t xml:space="preserve">到 </w:t>
      </w:r>
      <w:r>
        <w:rPr>
          <w:rFonts w:ascii="Times New Roman" w:eastAsia="Times New Roman"/>
        </w:rPr>
        <w:t xml:space="preserve">2022 </w:t>
      </w:r>
      <w:r>
        <w:rPr>
          <w:spacing w:val="-13"/>
        </w:rPr>
        <w:t xml:space="preserve">年和 </w:t>
      </w:r>
      <w:r>
        <w:rPr>
          <w:rFonts w:ascii="Times New Roman" w:eastAsia="Times New Roman"/>
        </w:rPr>
        <w:t xml:space="preserve">2030 </w:t>
      </w:r>
      <w:r>
        <w:rPr>
          <w:spacing w:val="19"/>
        </w:rPr>
        <w:t>年，艾滋病全人群感染率分别控制在</w:t>
      </w:r>
      <w:r>
        <w:rPr>
          <w:rFonts w:ascii="Times New Roman" w:eastAsia="Times New Roman"/>
          <w:spacing w:val="19"/>
        </w:rPr>
        <w:t>0.15%</w:t>
      </w:r>
      <w:r>
        <w:rPr>
          <w:spacing w:val="-8"/>
        </w:rPr>
        <w:t xml:space="preserve">以下和 </w:t>
      </w:r>
      <w:r>
        <w:rPr>
          <w:rFonts w:ascii="Times New Roman" w:eastAsia="Times New Roman"/>
        </w:rPr>
        <w:t>0.2%</w:t>
      </w:r>
      <w:r>
        <w:rPr>
          <w:spacing w:val="-15"/>
        </w:rPr>
        <w:t>以下；</w:t>
      </w:r>
      <w:r>
        <w:rPr>
          <w:rFonts w:ascii="Times New Roman" w:eastAsia="Times New Roman"/>
          <w:spacing w:val="-45"/>
        </w:rPr>
        <w:t xml:space="preserve">5 </w:t>
      </w:r>
      <w:r>
        <w:t>岁以下儿童乙型肝炎病毒表面抗原流</w:t>
      </w:r>
      <w:r>
        <w:rPr>
          <w:spacing w:val="-11"/>
        </w:rPr>
        <w:t xml:space="preserve">行率分别控制在 </w:t>
      </w:r>
      <w:r>
        <w:rPr>
          <w:rFonts w:ascii="Times New Roman" w:eastAsia="Times New Roman"/>
        </w:rPr>
        <w:t>1%</w:t>
      </w:r>
      <w:r>
        <w:rPr>
          <w:spacing w:val="-41"/>
        </w:rPr>
        <w:t xml:space="preserve">和 </w:t>
      </w:r>
      <w:r>
        <w:rPr>
          <w:rFonts w:ascii="Times New Roman" w:eastAsia="Times New Roman"/>
        </w:rPr>
        <w:t>0.5%</w:t>
      </w:r>
      <w:r>
        <w:rPr>
          <w:spacing w:val="-17"/>
        </w:rPr>
        <w:t xml:space="preserve">以下；肺结核发病率下降到 </w:t>
      </w:r>
      <w:r>
        <w:rPr>
          <w:rFonts w:ascii="Times New Roman" w:eastAsia="Times New Roman"/>
        </w:rPr>
        <w:t>55/10</w:t>
      </w:r>
      <w:r>
        <w:rPr>
          <w:rFonts w:ascii="Times New Roman" w:eastAsia="Times New Roman"/>
          <w:spacing w:val="-3"/>
        </w:rPr>
        <w:t xml:space="preserve"> </w:t>
      </w:r>
      <w:r>
        <w:t>万</w:t>
      </w:r>
      <w:r>
        <w:rPr>
          <w:spacing w:val="5"/>
          <w:w w:val="95"/>
        </w:rPr>
        <w:t>以下，并呈持续下降趋势；以乡</w:t>
      </w:r>
      <w:r>
        <w:rPr>
          <w:spacing w:val="7"/>
          <w:w w:val="95"/>
        </w:rPr>
        <w:t>（</w:t>
      </w:r>
      <w:r>
        <w:rPr>
          <w:spacing w:val="5"/>
          <w:w w:val="95"/>
        </w:rPr>
        <w:t>镇、街道）</w:t>
      </w:r>
      <w:r>
        <w:rPr>
          <w:spacing w:val="2"/>
          <w:w w:val="95"/>
        </w:rPr>
        <w:t xml:space="preserve">为单位，适龄儿 </w:t>
      </w:r>
      <w:r>
        <w:rPr>
          <w:spacing w:val="-4"/>
        </w:rPr>
        <w:t xml:space="preserve">童免疫规划疫苗接种率保持在 </w:t>
      </w:r>
      <w:r>
        <w:rPr>
          <w:rFonts w:ascii="Times New Roman" w:eastAsia="Times New Roman"/>
        </w:rPr>
        <w:t>90%</w:t>
      </w:r>
      <w:r>
        <w:rPr>
          <w:spacing w:val="3"/>
        </w:rPr>
        <w:t>以上；法定传染病报告率保</w:t>
      </w:r>
      <w:r>
        <w:rPr>
          <w:spacing w:val="-26"/>
        </w:rPr>
        <w:t xml:space="preserve">持在 </w:t>
      </w:r>
      <w:r>
        <w:rPr>
          <w:rFonts w:ascii="Times New Roman" w:eastAsia="Times New Roman"/>
        </w:rPr>
        <w:t>95%</w:t>
      </w:r>
      <w:r>
        <w:rPr>
          <w:spacing w:val="-14"/>
        </w:rPr>
        <w:t xml:space="preserve">以上；到 </w:t>
      </w:r>
      <w:r>
        <w:rPr>
          <w:rFonts w:ascii="Times New Roman" w:eastAsia="Times New Roman"/>
        </w:rPr>
        <w:t xml:space="preserve">2020 </w:t>
      </w:r>
      <w:r>
        <w:rPr>
          <w:spacing w:val="-3"/>
        </w:rPr>
        <w:t xml:space="preserve">年消除疟疾并持续保持；到 </w:t>
      </w:r>
      <w:r>
        <w:rPr>
          <w:rFonts w:ascii="Times New Roman" w:eastAsia="Times New Roman"/>
        </w:rPr>
        <w:t xml:space="preserve">2022 </w:t>
      </w:r>
      <w:r>
        <w:rPr>
          <w:spacing w:val="2"/>
        </w:rPr>
        <w:t>年有</w:t>
      </w:r>
    </w:p>
    <w:p>
      <w:pPr>
        <w:pStyle w:val="3"/>
        <w:spacing w:before="9" w:line="350" w:lineRule="auto"/>
        <w:ind w:right="428" w:firstLine="0"/>
        <w:jc w:val="both"/>
      </w:pPr>
      <w:r>
        <w:rPr>
          <w:spacing w:val="-11"/>
        </w:rPr>
        <w:t xml:space="preserve">效控制和消除血吸虫病危害，到 </w:t>
      </w:r>
      <w:r>
        <w:rPr>
          <w:rFonts w:ascii="Times New Roman" w:eastAsia="Times New Roman"/>
        </w:rPr>
        <w:t>2030</w:t>
      </w:r>
      <w:r>
        <w:rPr>
          <w:rFonts w:ascii="Times New Roman" w:eastAsia="Times New Roman"/>
          <w:spacing w:val="-4"/>
        </w:rPr>
        <w:t xml:space="preserve"> </w:t>
      </w:r>
      <w:r>
        <w:rPr>
          <w:spacing w:val="-16"/>
        </w:rPr>
        <w:t xml:space="preserve">年消除血吸虫病；到 </w:t>
      </w:r>
      <w:r>
        <w:rPr>
          <w:rFonts w:ascii="Times New Roman" w:eastAsia="Times New Roman"/>
        </w:rPr>
        <w:t xml:space="preserve">2022 </w:t>
      </w:r>
      <w:r>
        <w:rPr>
          <w:spacing w:val="-41"/>
        </w:rPr>
        <w:t xml:space="preserve">年 </w:t>
      </w:r>
      <w:r>
        <w:rPr>
          <w:rFonts w:ascii="Times New Roman" w:eastAsia="Times New Roman"/>
        </w:rPr>
        <w:t>70%</w:t>
      </w:r>
      <w:r>
        <w:rPr>
          <w:spacing w:val="-5"/>
        </w:rPr>
        <w:t xml:space="preserve">以上的流行县人群包虫病患病率在 </w:t>
      </w:r>
      <w:r>
        <w:rPr>
          <w:rFonts w:ascii="Times New Roman" w:eastAsia="Times New Roman"/>
        </w:rPr>
        <w:t>1%</w:t>
      </w:r>
      <w:r>
        <w:rPr>
          <w:spacing w:val="-14"/>
        </w:rPr>
        <w:t xml:space="preserve">以下，到 </w:t>
      </w:r>
      <w:r>
        <w:rPr>
          <w:rFonts w:ascii="Times New Roman" w:eastAsia="Times New Roman"/>
        </w:rPr>
        <w:t>2030</w:t>
      </w:r>
      <w:r>
        <w:rPr>
          <w:rFonts w:ascii="Times New Roman" w:eastAsia="Times New Roman"/>
          <w:spacing w:val="1"/>
        </w:rPr>
        <w:t xml:space="preserve"> </w:t>
      </w:r>
      <w:r>
        <w:t>年</w:t>
      </w:r>
      <w:r>
        <w:rPr>
          <w:spacing w:val="-2"/>
        </w:rPr>
        <w:t xml:space="preserve">所有流行县人群包虫病患病率在 </w:t>
      </w:r>
      <w:r>
        <w:rPr>
          <w:rFonts w:ascii="Times New Roman" w:eastAsia="Times New Roman"/>
        </w:rPr>
        <w:t>1%</w:t>
      </w:r>
      <w:r>
        <w:rPr>
          <w:spacing w:val="-14"/>
        </w:rPr>
        <w:t xml:space="preserve">以下；到 </w:t>
      </w:r>
      <w:r>
        <w:rPr>
          <w:rFonts w:ascii="Times New Roman" w:eastAsia="Times New Roman"/>
        </w:rPr>
        <w:t>2020</w:t>
      </w:r>
      <w:r>
        <w:rPr>
          <w:rFonts w:ascii="Times New Roman" w:eastAsia="Times New Roman"/>
          <w:spacing w:val="-1"/>
        </w:rPr>
        <w:t xml:space="preserve"> </w:t>
      </w:r>
      <w:r>
        <w:rPr>
          <w:spacing w:val="1"/>
        </w:rPr>
        <w:t>年持续消除</w:t>
      </w:r>
      <w:r>
        <w:rPr>
          <w:spacing w:val="-14"/>
        </w:rPr>
        <w:t xml:space="preserve">碘缺乏危害；到 </w:t>
      </w:r>
      <w:r>
        <w:rPr>
          <w:rFonts w:ascii="Times New Roman" w:eastAsia="Times New Roman"/>
        </w:rPr>
        <w:t>2022</w:t>
      </w:r>
      <w:r>
        <w:rPr>
          <w:rFonts w:ascii="Times New Roman" w:eastAsia="Times New Roman"/>
          <w:spacing w:val="-7"/>
        </w:rPr>
        <w:t xml:space="preserve"> </w:t>
      </w:r>
      <w:r>
        <w:rPr>
          <w:spacing w:val="-2"/>
        </w:rPr>
        <w:t>年基本消除燃煤污染型氟砷中毒、大骨节</w:t>
      </w:r>
      <w:r>
        <w:rPr>
          <w:spacing w:val="4"/>
          <w:w w:val="95"/>
        </w:rPr>
        <w:t xml:space="preserve">病和克山病危害，有效控制饮水型氟砷中毒、饮茶型地氟病和 </w:t>
      </w:r>
      <w:r>
        <w:rPr>
          <w:spacing w:val="-12"/>
        </w:rPr>
        <w:t xml:space="preserve">水源性高碘危害；到 </w:t>
      </w:r>
      <w:r>
        <w:rPr>
          <w:rFonts w:ascii="Times New Roman" w:eastAsia="Times New Roman"/>
        </w:rPr>
        <w:t>2030</w:t>
      </w:r>
      <w:r>
        <w:rPr>
          <w:rFonts w:ascii="Times New Roman" w:eastAsia="Times New Roman"/>
          <w:spacing w:val="-6"/>
        </w:rPr>
        <w:t xml:space="preserve"> </w:t>
      </w:r>
      <w:r>
        <w:rPr>
          <w:spacing w:val="-2"/>
        </w:rPr>
        <w:t>年保持控制和消除重点地方病，地方病不再成为危害人民健康的重点问题。</w:t>
      </w:r>
    </w:p>
    <w:p>
      <w:pPr>
        <w:spacing w:after="0" w:line="350" w:lineRule="auto"/>
        <w:jc w:val="both"/>
        <w:sectPr>
          <w:pgSz w:w="11910" w:h="16840"/>
          <w:pgMar w:top="1540" w:right="1140" w:bottom="1380" w:left="1400" w:header="0" w:footer="1200" w:gutter="0"/>
        </w:sectPr>
      </w:pPr>
    </w:p>
    <w:p>
      <w:pPr>
        <w:pStyle w:val="3"/>
        <w:spacing w:line="350" w:lineRule="auto"/>
        <w:jc w:val="both"/>
      </w:pPr>
      <w:r>
        <w:rPr>
          <w:spacing w:val="5"/>
          <w:w w:val="95"/>
        </w:rPr>
        <w:t>提倡负责任和安全的性行为，鼓励使用</w:t>
      </w:r>
      <w:r>
        <w:fldChar w:fldCharType="begin"/>
      </w:r>
      <w:r>
        <w:instrText xml:space="preserve"> HYPERLINK "https://baike.pcbaby.com.cn/qzbd/3786.html" \h </w:instrText>
      </w:r>
      <w:r>
        <w:fldChar w:fldCharType="separate"/>
      </w:r>
      <w:r>
        <w:rPr>
          <w:spacing w:val="6"/>
          <w:w w:val="95"/>
        </w:rPr>
        <w:t>安全套</w:t>
      </w:r>
      <w:r>
        <w:rPr>
          <w:spacing w:val="6"/>
          <w:w w:val="95"/>
        </w:rPr>
        <w:fldChar w:fldCharType="end"/>
      </w:r>
      <w:r>
        <w:rPr>
          <w:spacing w:val="1"/>
          <w:w w:val="95"/>
        </w:rPr>
        <w:t xml:space="preserve">；咳嗽、打 </w:t>
      </w:r>
      <w:r>
        <w:rPr>
          <w:spacing w:val="4"/>
          <w:w w:val="95"/>
        </w:rPr>
        <w:t xml:space="preserve">喷嚏时用胳膊或纸巾掩口鼻，正确、文明吐痰；充分认识疫苗 </w:t>
      </w:r>
      <w:r>
        <w:t>对预防疾病的重要作用，积极接种疫苗。</w:t>
      </w:r>
    </w:p>
    <w:p>
      <w:pPr>
        <w:pStyle w:val="2"/>
        <w:spacing w:before="4"/>
        <w:rPr>
          <w:rFonts w:hint="eastAsia" w:ascii="仿宋" w:hAnsi="仿宋" w:eastAsia="仿宋"/>
        </w:rPr>
      </w:pPr>
      <w:bookmarkStart w:id="83" w:name="——个人："/>
      <w:bookmarkEnd w:id="83"/>
      <w:r>
        <w:rPr>
          <w:rFonts w:ascii="Times New Roman" w:hAnsi="Times New Roman" w:eastAsia="Times New Roman"/>
        </w:rPr>
        <w:t>——</w:t>
      </w:r>
      <w:r>
        <w:rPr>
          <w:rFonts w:hint="eastAsia" w:ascii="仿宋" w:hAnsi="仿宋" w:eastAsia="仿宋"/>
        </w:rPr>
        <w:t>个人：</w:t>
      </w:r>
    </w:p>
    <w:p>
      <w:pPr>
        <w:pStyle w:val="10"/>
        <w:numPr>
          <w:ilvl w:val="0"/>
          <w:numId w:val="38"/>
        </w:numPr>
        <w:tabs>
          <w:tab w:val="left" w:pos="1052"/>
        </w:tabs>
        <w:spacing w:before="190" w:after="0" w:line="350" w:lineRule="auto"/>
        <w:ind w:left="171" w:right="270" w:firstLine="638"/>
        <w:jc w:val="left"/>
        <w:rPr>
          <w:sz w:val="32"/>
        </w:rPr>
      </w:pPr>
      <w:r>
        <w:rPr>
          <w:spacing w:val="-19"/>
          <w:w w:val="95"/>
          <w:sz w:val="32"/>
        </w:rPr>
        <w:t xml:space="preserve">提高自我防范意识。主动了解艾滋病、乙肝、丙肝的危害、 </w:t>
      </w:r>
      <w:r>
        <w:rPr>
          <w:spacing w:val="4"/>
          <w:sz w:val="32"/>
        </w:rPr>
        <w:t>防治知识和相关政策，抵制卖淫嫖娼、聚众淫乱、吸食毒品等违法犯罪行为，避免和减少易感染艾滋病、乙肝、丙肝的危险行为，不共用针头和针具、剃须刀和牙刷，忠诚于性伴侣，提</w:t>
      </w:r>
      <w:r>
        <w:rPr>
          <w:spacing w:val="5"/>
          <w:sz w:val="32"/>
        </w:rPr>
        <w:t>倡负责任和安全的性行为，鼓励使用</w:t>
      </w:r>
      <w:r>
        <w:fldChar w:fldCharType="begin"/>
      </w:r>
      <w:r>
        <w:instrText xml:space="preserve"> HYPERLINK "https://baike.pcbaby.com.cn/qzbd/3786.html" \h </w:instrText>
      </w:r>
      <w:r>
        <w:fldChar w:fldCharType="separate"/>
      </w:r>
      <w:r>
        <w:rPr>
          <w:spacing w:val="4"/>
          <w:sz w:val="32"/>
        </w:rPr>
        <w:t>安全套</w:t>
      </w:r>
      <w:r>
        <w:rPr>
          <w:spacing w:val="4"/>
          <w:sz w:val="32"/>
        </w:rPr>
        <w:fldChar w:fldCharType="end"/>
      </w:r>
      <w:r>
        <w:rPr>
          <w:spacing w:val="4"/>
          <w:sz w:val="32"/>
        </w:rPr>
        <w:t>。积极参与防治宣传活动，发生易感染危险行为后主动检测，不歧视感染者和患者。</w:t>
      </w:r>
    </w:p>
    <w:p>
      <w:pPr>
        <w:pStyle w:val="10"/>
        <w:numPr>
          <w:ilvl w:val="0"/>
          <w:numId w:val="38"/>
        </w:numPr>
        <w:tabs>
          <w:tab w:val="left" w:pos="1052"/>
        </w:tabs>
        <w:spacing w:before="10" w:after="0" w:line="350" w:lineRule="auto"/>
        <w:ind w:left="171" w:right="270" w:firstLine="638"/>
        <w:jc w:val="left"/>
        <w:rPr>
          <w:sz w:val="32"/>
        </w:rPr>
      </w:pPr>
      <w:r>
        <w:rPr>
          <w:spacing w:val="-7"/>
          <w:sz w:val="32"/>
        </w:rPr>
        <w:t>充分认识疫苗对于预防疾病的重要作用。接种乙肝疫苗是</w:t>
      </w:r>
      <w:r>
        <w:rPr>
          <w:spacing w:val="-9"/>
          <w:sz w:val="32"/>
        </w:rPr>
        <w:t>预防乙肝最安全有效的措施，医务人员、经常接触血液的人员、</w:t>
      </w:r>
      <w:r>
        <w:rPr>
          <w:spacing w:val="4"/>
          <w:sz w:val="32"/>
        </w:rPr>
        <w:t>托幼机构工作人员、乙肝病毒表面抗原携带者的家庭成员、男性同性恋或有多个性伴侣者和静脉内注射毒品者等，建议接种乙肝疫苗。乙肝病毒表面抗原携带者母亲生育的婴儿，建议在</w:t>
      </w:r>
      <w:r>
        <w:rPr>
          <w:spacing w:val="-25"/>
          <w:sz w:val="32"/>
        </w:rPr>
        <w:t xml:space="preserve">出生 </w:t>
      </w:r>
      <w:r>
        <w:rPr>
          <w:rFonts w:ascii="Times New Roman" w:eastAsia="Times New Roman"/>
          <w:sz w:val="32"/>
        </w:rPr>
        <w:t>24</w:t>
      </w:r>
      <w:r>
        <w:rPr>
          <w:rFonts w:ascii="Times New Roman" w:eastAsia="Times New Roman"/>
          <w:spacing w:val="-5"/>
          <w:sz w:val="32"/>
        </w:rPr>
        <w:t xml:space="preserve"> </w:t>
      </w:r>
      <w:r>
        <w:rPr>
          <w:spacing w:val="-6"/>
          <w:sz w:val="32"/>
        </w:rPr>
        <w:t>小时内</w:t>
      </w:r>
      <w:r>
        <w:rPr>
          <w:sz w:val="32"/>
        </w:rPr>
        <w:t>（越早越好</w:t>
      </w:r>
      <w:r>
        <w:rPr>
          <w:spacing w:val="-17"/>
          <w:sz w:val="32"/>
        </w:rPr>
        <w:t>）</w:t>
      </w:r>
      <w:r>
        <w:rPr>
          <w:sz w:val="32"/>
        </w:rPr>
        <w:t>接受乙肝免疫球蛋白和乙肝疫苗联</w:t>
      </w:r>
      <w:r>
        <w:rPr>
          <w:spacing w:val="4"/>
          <w:sz w:val="32"/>
        </w:rPr>
        <w:t>合免疫，阻断母婴传播。注意饮食和饮水卫生，可预防甲肝和戊肝病毒感染。</w:t>
      </w:r>
    </w:p>
    <w:p>
      <w:pPr>
        <w:pStyle w:val="10"/>
        <w:numPr>
          <w:ilvl w:val="0"/>
          <w:numId w:val="38"/>
        </w:numPr>
        <w:tabs>
          <w:tab w:val="left" w:pos="1052"/>
        </w:tabs>
        <w:spacing w:before="11" w:after="0" w:line="350" w:lineRule="auto"/>
        <w:ind w:left="171" w:right="429" w:firstLine="638"/>
        <w:jc w:val="both"/>
        <w:rPr>
          <w:sz w:val="32"/>
        </w:rPr>
      </w:pPr>
      <w:r>
        <w:rPr>
          <w:spacing w:val="-10"/>
          <w:sz w:val="32"/>
        </w:rPr>
        <w:t>养成良好的卫生习惯。咳嗽、打喷嚏时用胳膊或纸巾掩口</w:t>
      </w:r>
      <w:r>
        <w:rPr>
          <w:spacing w:val="-2"/>
          <w:sz w:val="32"/>
        </w:rPr>
        <w:t xml:space="preserve">鼻，正确、文明吐痰。出现咳嗽、咳痰 </w:t>
      </w:r>
      <w:r>
        <w:rPr>
          <w:rFonts w:ascii="Times New Roman" w:eastAsia="Times New Roman"/>
          <w:sz w:val="32"/>
        </w:rPr>
        <w:t>2</w:t>
      </w:r>
      <w:r>
        <w:rPr>
          <w:rFonts w:ascii="Times New Roman" w:eastAsia="Times New Roman"/>
          <w:spacing w:val="-6"/>
          <w:sz w:val="32"/>
        </w:rPr>
        <w:t xml:space="preserve"> </w:t>
      </w:r>
      <w:r>
        <w:rPr>
          <w:spacing w:val="3"/>
          <w:sz w:val="32"/>
        </w:rPr>
        <w:t>周以上，或痰中带血</w:t>
      </w:r>
      <w:r>
        <w:rPr>
          <w:spacing w:val="-3"/>
          <w:sz w:val="32"/>
        </w:rPr>
        <w:t>等可疑症状时要及时到结核病定点医疗机构就诊。 结核病患者</w:t>
      </w:r>
      <w:r>
        <w:rPr>
          <w:spacing w:val="4"/>
          <w:w w:val="95"/>
          <w:sz w:val="32"/>
        </w:rPr>
        <w:t>要遵医嘱，坚持规律、全程、按时服药，坚持规范治疗后大多</w:t>
      </w:r>
    </w:p>
    <w:p>
      <w:pPr>
        <w:spacing w:after="0" w:line="350" w:lineRule="auto"/>
        <w:jc w:val="both"/>
        <w:rPr>
          <w:sz w:val="32"/>
        </w:rPr>
        <w:sectPr>
          <w:pgSz w:w="11910" w:h="16840"/>
          <w:pgMar w:top="1540" w:right="1140" w:bottom="1380" w:left="1400" w:header="0" w:footer="1200" w:gutter="0"/>
        </w:sectPr>
      </w:pPr>
    </w:p>
    <w:p>
      <w:pPr>
        <w:pStyle w:val="3"/>
        <w:spacing w:line="350" w:lineRule="auto"/>
        <w:ind w:firstLine="0"/>
        <w:jc w:val="both"/>
      </w:pPr>
      <w:r>
        <w:rPr>
          <w:spacing w:val="4"/>
          <w:w w:val="95"/>
        </w:rPr>
        <w:t xml:space="preserve">数可以治愈。家中有传染性肺结核患者时应采取适当的隔离措 </w:t>
      </w:r>
      <w:r>
        <w:rPr>
          <w:spacing w:val="-9"/>
        </w:rPr>
        <w:t>施。 传染期肺结核患者应尽量避免去公共场所，外出时必须佩</w:t>
      </w:r>
      <w:r>
        <w:rPr>
          <w:spacing w:val="4"/>
          <w:w w:val="95"/>
        </w:rPr>
        <w:t xml:space="preserve">戴口罩，避免乘坐密闭交通工具。与传染性肺结核患者接触， </w:t>
      </w:r>
      <w:r>
        <w:rPr>
          <w:spacing w:val="5"/>
          <w:w w:val="95"/>
        </w:rPr>
        <w:t>或出入有较高传染风险的场所（如医院、结核科门诊等）</w:t>
      </w:r>
      <w:r>
        <w:rPr>
          <w:spacing w:val="-5"/>
          <w:w w:val="95"/>
        </w:rPr>
        <w:t xml:space="preserve">时， </w:t>
      </w:r>
      <w:r>
        <w:t>建议佩戴医用防护口罩。</w:t>
      </w:r>
    </w:p>
    <w:p>
      <w:pPr>
        <w:pStyle w:val="10"/>
        <w:numPr>
          <w:ilvl w:val="0"/>
          <w:numId w:val="38"/>
        </w:numPr>
        <w:tabs>
          <w:tab w:val="left" w:pos="1052"/>
        </w:tabs>
        <w:spacing w:before="7" w:after="0" w:line="350" w:lineRule="auto"/>
        <w:ind w:left="171" w:right="429" w:firstLine="638"/>
        <w:jc w:val="both"/>
        <w:rPr>
          <w:sz w:val="32"/>
        </w:rPr>
      </w:pPr>
      <w:r>
        <w:rPr>
          <w:spacing w:val="-11"/>
          <w:w w:val="95"/>
          <w:sz w:val="32"/>
        </w:rPr>
        <w:t xml:space="preserve">儿童、老年人、慢性病患者的免疫力低、抵抗力弱，是流 </w:t>
      </w:r>
      <w:r>
        <w:rPr>
          <w:spacing w:val="4"/>
          <w:w w:val="95"/>
          <w:sz w:val="32"/>
        </w:rPr>
        <w:t xml:space="preserve">感的高危人群，建议在流感流行季节前在医生的指导下接种流 </w:t>
      </w:r>
      <w:r>
        <w:rPr>
          <w:sz w:val="32"/>
        </w:rPr>
        <w:t>感疫苗。</w:t>
      </w:r>
    </w:p>
    <w:p>
      <w:pPr>
        <w:pStyle w:val="10"/>
        <w:numPr>
          <w:ilvl w:val="0"/>
          <w:numId w:val="38"/>
        </w:numPr>
        <w:tabs>
          <w:tab w:val="left" w:pos="1052"/>
        </w:tabs>
        <w:spacing w:before="4" w:after="0" w:line="350" w:lineRule="auto"/>
        <w:ind w:left="171" w:right="429" w:firstLine="638"/>
        <w:jc w:val="both"/>
        <w:rPr>
          <w:sz w:val="32"/>
        </w:rPr>
      </w:pPr>
      <w:r>
        <w:rPr>
          <w:spacing w:val="-10"/>
          <w:sz w:val="32"/>
        </w:rPr>
        <w:t>饲养者应为犬、猫接种兽用狂犬病疫苗，带犬外出时，要</w:t>
      </w:r>
      <w:r>
        <w:rPr>
          <w:spacing w:val="3"/>
          <w:w w:val="95"/>
          <w:sz w:val="32"/>
        </w:rPr>
        <w:t xml:space="preserve">使用犬链或给犬戴上笼嘴，防止咬伤他人。被犬、猫抓伤或咬 </w:t>
      </w:r>
      <w:r>
        <w:rPr>
          <w:spacing w:val="4"/>
          <w:w w:val="95"/>
          <w:sz w:val="32"/>
        </w:rPr>
        <w:t xml:space="preserve">伤后，应当立即冲洗伤口，并在医生的指导下尽快注射抗狂犬 </w:t>
      </w:r>
      <w:r>
        <w:rPr>
          <w:sz w:val="32"/>
        </w:rPr>
        <w:t>病免疫球蛋白（或血清）和人用狂犬病疫苗。</w:t>
      </w:r>
    </w:p>
    <w:p>
      <w:pPr>
        <w:pStyle w:val="10"/>
        <w:numPr>
          <w:ilvl w:val="0"/>
          <w:numId w:val="38"/>
        </w:numPr>
        <w:tabs>
          <w:tab w:val="left" w:pos="1052"/>
        </w:tabs>
        <w:spacing w:before="5" w:after="0" w:line="350" w:lineRule="auto"/>
        <w:ind w:left="171" w:right="429" w:firstLine="638"/>
        <w:jc w:val="both"/>
        <w:rPr>
          <w:sz w:val="32"/>
        </w:rPr>
      </w:pPr>
      <w:r>
        <w:rPr>
          <w:spacing w:val="-9"/>
          <w:w w:val="95"/>
          <w:sz w:val="32"/>
        </w:rPr>
        <w:t xml:space="preserve">接触禽畜后要洗手。不与病畜、病禽接触。不加工、不食 </w:t>
      </w:r>
      <w:r>
        <w:rPr>
          <w:spacing w:val="4"/>
          <w:w w:val="95"/>
          <w:sz w:val="32"/>
        </w:rPr>
        <w:t xml:space="preserve">用病死禽畜，或未经卫生检疫合格的禽畜肉。动物源性传染病 病区内不吃生的或未煮熟煮透的禽畜肉，不食用野生动物。发 </w:t>
      </w:r>
      <w:r>
        <w:rPr>
          <w:sz w:val="32"/>
        </w:rPr>
        <w:t>现病死禽畜要及时向畜牧部门报告，并按照要求妥善处理。</w:t>
      </w:r>
    </w:p>
    <w:p>
      <w:pPr>
        <w:pStyle w:val="10"/>
        <w:numPr>
          <w:ilvl w:val="0"/>
          <w:numId w:val="38"/>
        </w:numPr>
        <w:tabs>
          <w:tab w:val="left" w:pos="1052"/>
        </w:tabs>
        <w:spacing w:before="6" w:after="0" w:line="350" w:lineRule="auto"/>
        <w:ind w:left="171" w:right="429" w:firstLine="638"/>
        <w:jc w:val="both"/>
        <w:rPr>
          <w:sz w:val="32"/>
        </w:rPr>
      </w:pPr>
      <w:r>
        <w:rPr>
          <w:spacing w:val="-12"/>
          <w:sz w:val="32"/>
        </w:rPr>
        <w:t>讲究个人卫生，做好防护。包虫病流行区居民要做到饭前</w:t>
      </w:r>
      <w:r>
        <w:rPr>
          <w:spacing w:val="4"/>
          <w:w w:val="95"/>
          <w:sz w:val="32"/>
        </w:rPr>
        <w:t>洗手，家犬定期驱虫，犬粪深埋或焚烧进行无害化处理，染病 牲畜内脏深埋不随意丢弃，防止其他动物进食；屠宰人员不随 意丢弃牲畜内脏、不用生鲜内脏喂犬。血吸虫病流行区居民避 免接触疫水，渔船民下水前做好防护措施；肝吸虫病流行区居 民不生食或半生食鱼类、螺类和肉类，不用未经无害化处理的 粪便喂鱼和施肥。钩虫病流行区居民避免赤足下水下田，加强</w:t>
      </w:r>
    </w:p>
    <w:p>
      <w:pPr>
        <w:spacing w:after="0" w:line="350" w:lineRule="auto"/>
        <w:jc w:val="both"/>
        <w:rPr>
          <w:sz w:val="32"/>
        </w:rPr>
        <w:sectPr>
          <w:footerReference r:id="rId13" w:type="default"/>
          <w:pgSz w:w="11910" w:h="16840"/>
          <w:pgMar w:top="1540" w:right="1140" w:bottom="1380" w:left="1400" w:header="0" w:footer="1200" w:gutter="0"/>
          <w:pgNumType w:start="100"/>
        </w:sectPr>
      </w:pPr>
    </w:p>
    <w:p>
      <w:pPr>
        <w:pStyle w:val="3"/>
        <w:spacing w:line="350" w:lineRule="auto"/>
        <w:ind w:right="202" w:firstLine="0"/>
      </w:pPr>
      <w:r>
        <w:rPr>
          <w:w w:val="95"/>
        </w:rPr>
        <w:t xml:space="preserve">防护。黑热病流行区居民使用药浸或长效蚊帐，安装纱门纱窗， </w:t>
      </w:r>
      <w:r>
        <w:t>减少人蛉接触，防止被叮咬。</w:t>
      </w:r>
    </w:p>
    <w:p>
      <w:pPr>
        <w:pStyle w:val="10"/>
        <w:numPr>
          <w:ilvl w:val="0"/>
          <w:numId w:val="38"/>
        </w:numPr>
        <w:tabs>
          <w:tab w:val="left" w:pos="1052"/>
        </w:tabs>
        <w:spacing w:before="3" w:after="0" w:line="350" w:lineRule="auto"/>
        <w:ind w:left="171" w:right="429" w:firstLine="638"/>
        <w:jc w:val="both"/>
        <w:rPr>
          <w:sz w:val="32"/>
        </w:rPr>
      </w:pPr>
      <w:r>
        <w:rPr>
          <w:spacing w:val="-11"/>
          <w:w w:val="95"/>
          <w:sz w:val="32"/>
        </w:rPr>
        <w:t xml:space="preserve">远离疾病。建议大骨节病病区居民尽量购买商品粮，不食 </w:t>
      </w:r>
      <w:r>
        <w:rPr>
          <w:spacing w:val="4"/>
          <w:w w:val="95"/>
          <w:sz w:val="32"/>
        </w:rPr>
        <w:t xml:space="preserve">用自产粮。建议克山病病区居民养成平衡膳食习惯，碘缺乏地 区居民食用碘盐，牧区居民饮用低氟砖茶。建议饮水型氟砷中 毒地区居民饮用改水后的合格水，做好自家管道维护；燃煤污 </w:t>
      </w:r>
      <w:r>
        <w:rPr>
          <w:sz w:val="32"/>
        </w:rPr>
        <w:t>染型氟砷中毒地区居民要尽量使用清洁能源或改良炉灶。</w:t>
      </w:r>
    </w:p>
    <w:p>
      <w:pPr>
        <w:pStyle w:val="2"/>
        <w:spacing w:before="7"/>
        <w:rPr>
          <w:rFonts w:hint="eastAsia" w:ascii="仿宋" w:hAnsi="仿宋" w:eastAsia="仿宋"/>
        </w:rPr>
      </w:pPr>
      <w:bookmarkStart w:id="84" w:name="——社会和政府："/>
      <w:bookmarkEnd w:id="84"/>
      <w:r>
        <w:rPr>
          <w:rFonts w:ascii="Times New Roman" w:hAnsi="Times New Roman" w:eastAsia="Times New Roman"/>
        </w:rPr>
        <w:t>——</w:t>
      </w:r>
      <w:r>
        <w:rPr>
          <w:rFonts w:hint="eastAsia" w:ascii="仿宋" w:hAnsi="仿宋" w:eastAsia="仿宋"/>
        </w:rPr>
        <w:t>社会和政府：</w:t>
      </w:r>
    </w:p>
    <w:p>
      <w:pPr>
        <w:pStyle w:val="10"/>
        <w:numPr>
          <w:ilvl w:val="0"/>
          <w:numId w:val="39"/>
        </w:numPr>
        <w:tabs>
          <w:tab w:val="left" w:pos="1052"/>
        </w:tabs>
        <w:spacing w:before="189" w:after="0" w:line="350" w:lineRule="auto"/>
        <w:ind w:left="171" w:right="266" w:firstLine="638"/>
        <w:jc w:val="left"/>
        <w:rPr>
          <w:rFonts w:hint="eastAsia" w:ascii="楷体" w:eastAsia="楷体"/>
          <w:sz w:val="32"/>
        </w:rPr>
      </w:pPr>
      <w:r>
        <w:rPr>
          <w:spacing w:val="-15"/>
          <w:sz w:val="32"/>
        </w:rPr>
        <w:t>动员社会各界参与艾滋病防治工作，支持社会团体、企业、</w:t>
      </w:r>
      <w:r>
        <w:rPr>
          <w:spacing w:val="4"/>
          <w:sz w:val="32"/>
        </w:rPr>
        <w:t>基金会、有关组织和志愿者开展艾滋病防治宣传、感染者扶贫救助等公益活动，鼓励和支持对易感艾滋病危险行为人群开展</w:t>
      </w:r>
      <w:r>
        <w:rPr>
          <w:spacing w:val="5"/>
          <w:sz w:val="32"/>
        </w:rPr>
        <w:t>动员检测和综合干预、感染者关怀救助等工作。</w:t>
      </w:r>
      <w:r>
        <w:rPr>
          <w:rFonts w:hint="eastAsia" w:ascii="楷体" w:eastAsia="楷体"/>
          <w:spacing w:val="5"/>
          <w:sz w:val="32"/>
        </w:rPr>
        <w:t>（</w:t>
      </w:r>
      <w:r>
        <w:rPr>
          <w:rFonts w:hint="eastAsia" w:ascii="楷体" w:eastAsia="楷体"/>
          <w:spacing w:val="4"/>
          <w:sz w:val="32"/>
        </w:rPr>
        <w:t>卫生健康委</w:t>
      </w:r>
      <w:r>
        <w:rPr>
          <w:rFonts w:hint="eastAsia" w:ascii="楷体" w:eastAsia="楷体"/>
          <w:spacing w:val="-5"/>
          <w:w w:val="95"/>
          <w:sz w:val="32"/>
        </w:rPr>
        <w:t xml:space="preserve">牵头，中央宣传部、民政部、财政部、中医药局、全国总工会、 </w:t>
      </w:r>
      <w:r>
        <w:rPr>
          <w:rFonts w:hint="eastAsia" w:ascii="楷体" w:eastAsia="楷体"/>
          <w:spacing w:val="4"/>
          <w:sz w:val="32"/>
        </w:rPr>
        <w:t>共青团中央、全国妇联、中国红十字会总会、全国工商联等按职责分工负责）</w:t>
      </w:r>
    </w:p>
    <w:p>
      <w:pPr>
        <w:pStyle w:val="10"/>
        <w:numPr>
          <w:ilvl w:val="0"/>
          <w:numId w:val="39"/>
        </w:numPr>
        <w:tabs>
          <w:tab w:val="left" w:pos="1052"/>
        </w:tabs>
        <w:spacing w:before="10" w:after="0" w:line="350" w:lineRule="auto"/>
        <w:ind w:left="171" w:right="270" w:firstLine="638"/>
        <w:jc w:val="left"/>
        <w:rPr>
          <w:rFonts w:hint="eastAsia" w:ascii="楷体" w:eastAsia="楷体"/>
          <w:sz w:val="32"/>
        </w:rPr>
      </w:pPr>
      <w:r>
        <w:rPr>
          <w:spacing w:val="-8"/>
          <w:sz w:val="32"/>
        </w:rPr>
        <w:t>落实血站血液艾滋病病毒、乙肝病毒、丙肝病毒核酸检测</w:t>
      </w:r>
      <w:r>
        <w:rPr>
          <w:spacing w:val="4"/>
          <w:sz w:val="32"/>
        </w:rPr>
        <w:t>全覆盖，落实预防艾滋病、梅毒和乙肝母婴传播措施全覆盖， 落实感染者救治救助政策。综合提高预防艾滋病宣传教育的针对性，提高综合干预的实效性，提高检测咨询的可及性和随访</w:t>
      </w:r>
      <w:r>
        <w:rPr>
          <w:sz w:val="32"/>
        </w:rPr>
        <w:t>服务的规范性。</w:t>
      </w:r>
      <w:r>
        <w:rPr>
          <w:rFonts w:hint="eastAsia" w:ascii="楷体" w:eastAsia="楷体"/>
          <w:sz w:val="32"/>
        </w:rPr>
        <w:t>（</w:t>
      </w:r>
      <w:r>
        <w:rPr>
          <w:rFonts w:hint="eastAsia" w:ascii="楷体" w:eastAsia="楷体"/>
          <w:spacing w:val="-3"/>
          <w:sz w:val="32"/>
        </w:rPr>
        <w:t>卫生健康委牵头，中央宣传部、中央政法委、</w:t>
      </w:r>
      <w:r>
        <w:rPr>
          <w:rFonts w:hint="eastAsia" w:ascii="楷体" w:eastAsia="楷体"/>
          <w:spacing w:val="-6"/>
          <w:sz w:val="32"/>
        </w:rPr>
        <w:t>中央网信办、发展改革委、教育部、工业和信息化部、公安部、</w:t>
      </w:r>
      <w:r>
        <w:rPr>
          <w:rFonts w:hint="eastAsia" w:ascii="楷体" w:eastAsia="楷体"/>
          <w:spacing w:val="4"/>
          <w:sz w:val="32"/>
        </w:rPr>
        <w:t>民政部、司法部、财政部、交通运输部、农业农村部、文化和旅游部、海关总署、广电总局、药监局等按职责分工负责）</w:t>
      </w:r>
    </w:p>
    <w:p>
      <w:pPr>
        <w:spacing w:after="0" w:line="350" w:lineRule="auto"/>
        <w:jc w:val="left"/>
        <w:rPr>
          <w:rFonts w:hint="eastAsia" w:ascii="楷体" w:eastAsia="楷体"/>
          <w:sz w:val="32"/>
        </w:rPr>
        <w:sectPr>
          <w:pgSz w:w="11910" w:h="16840"/>
          <w:pgMar w:top="1540" w:right="1140" w:bottom="1380" w:left="1400" w:header="0" w:footer="1200" w:gutter="0"/>
        </w:sectPr>
      </w:pPr>
    </w:p>
    <w:p>
      <w:pPr>
        <w:pStyle w:val="10"/>
        <w:numPr>
          <w:ilvl w:val="0"/>
          <w:numId w:val="39"/>
        </w:numPr>
        <w:tabs>
          <w:tab w:val="left" w:pos="1052"/>
        </w:tabs>
        <w:spacing w:before="43" w:after="0" w:line="350" w:lineRule="auto"/>
        <w:ind w:left="171" w:right="233" w:firstLine="638"/>
        <w:jc w:val="left"/>
        <w:rPr>
          <w:rFonts w:hint="eastAsia" w:ascii="楷体" w:eastAsia="楷体"/>
          <w:sz w:val="32"/>
        </w:rPr>
      </w:pPr>
      <w:r>
        <w:rPr>
          <w:spacing w:val="-8"/>
          <w:sz w:val="32"/>
        </w:rPr>
        <w:t>全面实施病毒性肝炎各项防治措施，控制病毒性肝炎及其</w:t>
      </w:r>
      <w:r>
        <w:rPr>
          <w:spacing w:val="4"/>
          <w:sz w:val="32"/>
        </w:rPr>
        <w:t>相关肝癌、肝硬化死亡上升趋势。鼓励有条件的地区对医务人员、经常接触血液的人员、托幼机构工作人员、乙型肝炎病毒表面抗原携带者家庭成员等高风险人群开展乙型肝炎疫苗接种， 为食品生产经营从业人员、托幼机构工作人员、集体生活人员</w:t>
      </w:r>
      <w:r>
        <w:rPr>
          <w:spacing w:val="5"/>
          <w:sz w:val="32"/>
        </w:rPr>
        <w:t>等易传播甲型肝炎病毒的重点人群接种甲型肝炎疫苗。</w:t>
      </w:r>
      <w:r>
        <w:rPr>
          <w:rFonts w:hint="eastAsia" w:ascii="楷体" w:eastAsia="楷体"/>
          <w:spacing w:val="5"/>
          <w:sz w:val="32"/>
        </w:rPr>
        <w:t>（</w:t>
      </w:r>
      <w:r>
        <w:rPr>
          <w:rFonts w:hint="eastAsia" w:ascii="楷体" w:eastAsia="楷体"/>
          <w:spacing w:val="3"/>
          <w:sz w:val="32"/>
        </w:rPr>
        <w:t>卫生健康委牵头，市场监管总局、药监局按职责负责）</w:t>
      </w:r>
    </w:p>
    <w:p>
      <w:pPr>
        <w:pStyle w:val="10"/>
        <w:numPr>
          <w:ilvl w:val="0"/>
          <w:numId w:val="39"/>
        </w:numPr>
        <w:tabs>
          <w:tab w:val="left" w:pos="1052"/>
        </w:tabs>
        <w:spacing w:before="10" w:after="0" w:line="350" w:lineRule="auto"/>
        <w:ind w:left="171" w:right="429" w:firstLine="638"/>
        <w:jc w:val="both"/>
        <w:rPr>
          <w:rFonts w:hint="eastAsia" w:ascii="楷体" w:eastAsia="楷体"/>
          <w:sz w:val="32"/>
        </w:rPr>
      </w:pPr>
      <w:r>
        <w:rPr>
          <w:spacing w:val="-10"/>
          <w:sz w:val="32"/>
        </w:rPr>
        <w:t>加大重点地区以及学生、老年人、贫困人口等重点人群的</w:t>
      </w:r>
      <w:r>
        <w:rPr>
          <w:spacing w:val="4"/>
          <w:w w:val="95"/>
          <w:sz w:val="32"/>
        </w:rPr>
        <w:t>筛查力度，强化耐药筛查工作，及时发现结核病患者。实施结 核病规范化治疗，提高诊疗水平。加强基层医疗卫生机构结核 病患者全疗程健康管理服务。落实结核病救治保障政策。</w:t>
      </w:r>
      <w:r>
        <w:rPr>
          <w:rFonts w:hint="eastAsia" w:ascii="楷体" w:eastAsia="楷体"/>
          <w:spacing w:val="5"/>
          <w:w w:val="95"/>
          <w:sz w:val="32"/>
        </w:rPr>
        <w:t>（</w:t>
      </w:r>
      <w:r>
        <w:rPr>
          <w:rFonts w:hint="eastAsia" w:ascii="楷体" w:eastAsia="楷体"/>
          <w:spacing w:val="-11"/>
          <w:w w:val="95"/>
          <w:sz w:val="32"/>
        </w:rPr>
        <w:t xml:space="preserve">卫 </w:t>
      </w:r>
      <w:r>
        <w:rPr>
          <w:rFonts w:hint="eastAsia" w:ascii="楷体" w:eastAsia="楷体"/>
          <w:spacing w:val="4"/>
          <w:w w:val="95"/>
          <w:sz w:val="32"/>
        </w:rPr>
        <w:t xml:space="preserve">生健康委牵头，教育部、医保局、国务院扶贫办按职责分工负 </w:t>
      </w:r>
      <w:r>
        <w:rPr>
          <w:rFonts w:hint="eastAsia" w:ascii="楷体" w:eastAsia="楷体"/>
          <w:sz w:val="32"/>
        </w:rPr>
        <w:t>责）</w:t>
      </w:r>
    </w:p>
    <w:p>
      <w:pPr>
        <w:pStyle w:val="10"/>
        <w:numPr>
          <w:ilvl w:val="0"/>
          <w:numId w:val="39"/>
        </w:numPr>
        <w:tabs>
          <w:tab w:val="left" w:pos="1052"/>
        </w:tabs>
        <w:spacing w:before="8" w:after="0" w:line="350" w:lineRule="auto"/>
        <w:ind w:left="171" w:right="429" w:firstLine="638"/>
        <w:jc w:val="both"/>
        <w:rPr>
          <w:rFonts w:hint="eastAsia" w:ascii="楷体" w:eastAsia="楷体"/>
          <w:sz w:val="32"/>
        </w:rPr>
      </w:pPr>
      <w:r>
        <w:rPr>
          <w:spacing w:val="-9"/>
          <w:sz w:val="32"/>
        </w:rPr>
        <w:t>持续开展流感监测和疫情研判，掌握流感病毒活动水平及</w:t>
      </w:r>
      <w:r>
        <w:rPr>
          <w:spacing w:val="-13"/>
          <w:sz w:val="32"/>
        </w:rPr>
        <w:t xml:space="preserve">流行动态，及时发布预警信息。鼓励有条件地区为 </w:t>
      </w:r>
      <w:r>
        <w:rPr>
          <w:rFonts w:ascii="Times New Roman" w:eastAsia="Times New Roman"/>
          <w:sz w:val="32"/>
        </w:rPr>
        <w:t>60</w:t>
      </w:r>
      <w:r>
        <w:rPr>
          <w:rFonts w:ascii="Times New Roman" w:eastAsia="Times New Roman"/>
          <w:spacing w:val="-6"/>
          <w:sz w:val="32"/>
        </w:rPr>
        <w:t xml:space="preserve"> </w:t>
      </w:r>
      <w:r>
        <w:rPr>
          <w:sz w:val="32"/>
        </w:rPr>
        <w:t>岁及以上</w:t>
      </w:r>
      <w:r>
        <w:rPr>
          <w:spacing w:val="4"/>
          <w:w w:val="95"/>
          <w:sz w:val="32"/>
        </w:rPr>
        <w:t xml:space="preserve">户籍老人、托幼机构幼儿、在校中小学生和中等专业学校学生 </w:t>
      </w:r>
      <w:r>
        <w:rPr>
          <w:spacing w:val="5"/>
          <w:w w:val="95"/>
          <w:sz w:val="32"/>
        </w:rPr>
        <w:t>免费接种流感疫苗。保障流感疫苗供应。</w:t>
      </w:r>
      <w:r>
        <w:rPr>
          <w:rFonts w:hint="eastAsia" w:ascii="楷体" w:eastAsia="楷体"/>
          <w:spacing w:val="5"/>
          <w:w w:val="95"/>
          <w:sz w:val="32"/>
        </w:rPr>
        <w:t>（</w:t>
      </w:r>
      <w:r>
        <w:rPr>
          <w:rFonts w:hint="eastAsia" w:ascii="楷体" w:eastAsia="楷体"/>
          <w:spacing w:val="2"/>
          <w:w w:val="95"/>
          <w:sz w:val="32"/>
        </w:rPr>
        <w:t xml:space="preserve">卫生健康委牵头， </w:t>
      </w:r>
      <w:r>
        <w:rPr>
          <w:rFonts w:hint="eastAsia" w:ascii="楷体" w:eastAsia="楷体"/>
          <w:sz w:val="32"/>
        </w:rPr>
        <w:t>教育部、工业和信息化部、药监局按职责分工负责）</w:t>
      </w:r>
    </w:p>
    <w:p>
      <w:pPr>
        <w:pStyle w:val="10"/>
        <w:numPr>
          <w:ilvl w:val="0"/>
          <w:numId w:val="39"/>
        </w:numPr>
        <w:tabs>
          <w:tab w:val="left" w:pos="1052"/>
        </w:tabs>
        <w:spacing w:before="7" w:after="0" w:line="350" w:lineRule="auto"/>
        <w:ind w:left="171" w:right="429" w:firstLine="638"/>
        <w:jc w:val="both"/>
        <w:rPr>
          <w:sz w:val="32"/>
        </w:rPr>
      </w:pPr>
      <w:r>
        <w:rPr>
          <w:spacing w:val="-8"/>
          <w:sz w:val="32"/>
        </w:rPr>
        <w:t>开展寄生虫病综合防控工作，加强环境卫生治理，降低农</w:t>
      </w:r>
      <w:r>
        <w:rPr>
          <w:spacing w:val="4"/>
          <w:w w:val="95"/>
          <w:sz w:val="32"/>
        </w:rPr>
        <w:t>村寄生虫病流行区域人群感染率。在血吸虫病流行区坚持以控 制传染源为主的防治策略，强化传染源管控关键措施，落实有 螺环境禁牧，在血吸虫病流行区推广、建设无害化厕所和船舶 粪便收容器，统筹综合治理阻断措施，压缩钉螺面积，结合河</w:t>
      </w:r>
    </w:p>
    <w:p>
      <w:pPr>
        <w:spacing w:after="0" w:line="350" w:lineRule="auto"/>
        <w:jc w:val="both"/>
        <w:rPr>
          <w:sz w:val="32"/>
        </w:rPr>
        <w:sectPr>
          <w:pgSz w:w="11910" w:h="16840"/>
          <w:pgMar w:top="1540" w:right="1140" w:bottom="1380" w:left="1400" w:header="0" w:footer="1200" w:gutter="0"/>
        </w:sectPr>
      </w:pPr>
    </w:p>
    <w:p>
      <w:pPr>
        <w:pStyle w:val="3"/>
        <w:spacing w:line="350" w:lineRule="auto"/>
        <w:ind w:right="214" w:firstLine="0"/>
        <w:rPr>
          <w:rFonts w:hint="eastAsia" w:ascii="楷体" w:eastAsia="楷体"/>
        </w:rPr>
      </w:pPr>
      <w:r>
        <w:t>长制湖长制工作严控涉河湖畜禽养殖污染。</w:t>
      </w:r>
      <w:r>
        <w:rPr>
          <w:rFonts w:hint="eastAsia" w:ascii="楷体" w:eastAsia="楷体"/>
        </w:rPr>
        <w:t>（卫生健康委牵头， 自然资源部、水利部、农业农村部、林草局按职责分工负责）</w:t>
      </w:r>
    </w:p>
    <w:p>
      <w:pPr>
        <w:pStyle w:val="10"/>
        <w:numPr>
          <w:ilvl w:val="0"/>
          <w:numId w:val="39"/>
        </w:numPr>
        <w:tabs>
          <w:tab w:val="left" w:pos="1052"/>
        </w:tabs>
        <w:spacing w:before="3" w:after="0" w:line="350" w:lineRule="auto"/>
        <w:ind w:left="171" w:right="429" w:firstLine="638"/>
        <w:jc w:val="both"/>
        <w:rPr>
          <w:rFonts w:hint="eastAsia" w:ascii="楷体" w:eastAsia="楷体"/>
          <w:sz w:val="32"/>
        </w:rPr>
      </w:pPr>
      <w:r>
        <w:rPr>
          <w:spacing w:val="-10"/>
          <w:sz w:val="32"/>
        </w:rPr>
        <w:t>完善犬只登记管理，加强对宠物饲养者责任约束，提升兽</w:t>
      </w:r>
      <w:r>
        <w:rPr>
          <w:spacing w:val="3"/>
          <w:w w:val="95"/>
          <w:sz w:val="32"/>
        </w:rPr>
        <w:t xml:space="preserve">用狂犬病疫苗注射覆盖率。在包虫病流行区域，全面推行家犬 </w:t>
      </w:r>
      <w:r>
        <w:rPr>
          <w:spacing w:val="4"/>
          <w:w w:val="95"/>
          <w:sz w:val="32"/>
        </w:rPr>
        <w:t xml:space="preserve">拴养，定期开展犬驱虫，做好犬粪深埋、焚烧等无害化处理。 开展包虫病人群筛查，对患者给予药物或手术治疗。逐步实行 </w:t>
      </w:r>
      <w:r>
        <w:rPr>
          <w:spacing w:val="5"/>
          <w:w w:val="95"/>
          <w:sz w:val="32"/>
        </w:rPr>
        <w:t>牲畜定点屠宰，加强对屠宰场（</w:t>
      </w:r>
      <w:r>
        <w:rPr>
          <w:spacing w:val="7"/>
          <w:w w:val="95"/>
          <w:sz w:val="32"/>
        </w:rPr>
        <w:t>点</w:t>
      </w:r>
      <w:r>
        <w:rPr>
          <w:spacing w:val="5"/>
          <w:w w:val="95"/>
          <w:sz w:val="32"/>
        </w:rPr>
        <w:t>）</w:t>
      </w:r>
      <w:r>
        <w:rPr>
          <w:spacing w:val="3"/>
          <w:w w:val="95"/>
          <w:sz w:val="32"/>
        </w:rPr>
        <w:t xml:space="preserve">屠宰家畜的检验检疫，做 </w:t>
      </w:r>
      <w:r>
        <w:rPr>
          <w:spacing w:val="4"/>
          <w:w w:val="95"/>
          <w:sz w:val="32"/>
        </w:rPr>
        <w:t>好病变脏器的无害化处理。</w:t>
      </w:r>
      <w:r>
        <w:rPr>
          <w:rFonts w:hint="eastAsia" w:ascii="楷体" w:eastAsia="楷体"/>
          <w:spacing w:val="5"/>
          <w:w w:val="95"/>
          <w:sz w:val="32"/>
        </w:rPr>
        <w:t>（</w:t>
      </w:r>
      <w:r>
        <w:rPr>
          <w:rFonts w:hint="eastAsia" w:ascii="楷体" w:eastAsia="楷体"/>
          <w:spacing w:val="3"/>
          <w:w w:val="95"/>
          <w:sz w:val="32"/>
        </w:rPr>
        <w:t xml:space="preserve">公安部、住房城乡建设部、农业 </w:t>
      </w:r>
      <w:r>
        <w:rPr>
          <w:rFonts w:hint="eastAsia" w:ascii="楷体" w:eastAsia="楷体"/>
          <w:sz w:val="32"/>
        </w:rPr>
        <w:t>农村部、卫生健康委按职责分工负责）</w:t>
      </w:r>
    </w:p>
    <w:p>
      <w:pPr>
        <w:pStyle w:val="10"/>
        <w:numPr>
          <w:ilvl w:val="0"/>
          <w:numId w:val="39"/>
        </w:numPr>
        <w:tabs>
          <w:tab w:val="left" w:pos="1052"/>
        </w:tabs>
        <w:spacing w:before="9" w:after="0" w:line="350" w:lineRule="auto"/>
        <w:ind w:left="171" w:right="270" w:firstLine="638"/>
        <w:jc w:val="left"/>
        <w:rPr>
          <w:rFonts w:hint="eastAsia" w:ascii="楷体" w:eastAsia="楷体"/>
          <w:sz w:val="32"/>
        </w:rPr>
      </w:pPr>
      <w:r>
        <w:rPr>
          <w:spacing w:val="-8"/>
          <w:sz w:val="32"/>
        </w:rPr>
        <w:t>对饮水型氟砷中毒高发地区，完成改水工程建设；对居住</w:t>
      </w:r>
      <w:r>
        <w:rPr>
          <w:spacing w:val="4"/>
          <w:sz w:val="32"/>
        </w:rPr>
        <w:t>分散、改水成本高的，可结合脱贫攻坚进行搬迁。对饮茶型地</w:t>
      </w:r>
      <w:r>
        <w:rPr>
          <w:spacing w:val="-1"/>
          <w:sz w:val="32"/>
        </w:rPr>
        <w:t xml:space="preserve">氟病高发地区，支持地方政府采取定点生产、财政补贴等措施， </w:t>
      </w:r>
      <w:r>
        <w:rPr>
          <w:spacing w:val="4"/>
          <w:sz w:val="32"/>
        </w:rPr>
        <w:t>降低低氟砖茶价格，推广低氟砖茶。对燃煤型氟砷中毒高发地</w:t>
      </w:r>
      <w:r>
        <w:rPr>
          <w:spacing w:val="5"/>
          <w:sz w:val="32"/>
        </w:rPr>
        <w:t>区，在有条件的地方推广清洁能源，不燃用高氟（砷</w:t>
      </w:r>
      <w:r>
        <w:rPr>
          <w:spacing w:val="7"/>
          <w:sz w:val="32"/>
        </w:rPr>
        <w:t>）</w:t>
      </w:r>
      <w:r>
        <w:rPr>
          <w:spacing w:val="3"/>
          <w:sz w:val="32"/>
        </w:rPr>
        <w:t xml:space="preserve">的煤， </w:t>
      </w:r>
      <w:r>
        <w:rPr>
          <w:spacing w:val="5"/>
          <w:sz w:val="32"/>
        </w:rPr>
        <w:t>引导群众进行改炉改灶并使用改良炉灶。</w:t>
      </w:r>
      <w:r>
        <w:rPr>
          <w:rFonts w:hint="eastAsia" w:ascii="楷体" w:eastAsia="楷体"/>
          <w:spacing w:val="5"/>
          <w:sz w:val="32"/>
        </w:rPr>
        <w:t>（</w:t>
      </w:r>
      <w:r>
        <w:rPr>
          <w:rFonts w:hint="eastAsia" w:ascii="楷体" w:eastAsia="楷体"/>
          <w:spacing w:val="4"/>
          <w:sz w:val="32"/>
        </w:rPr>
        <w:t>国家民委、生态环</w:t>
      </w:r>
      <w:r>
        <w:rPr>
          <w:rFonts w:hint="eastAsia" w:ascii="楷体" w:eastAsia="楷体"/>
          <w:spacing w:val="-4"/>
          <w:w w:val="95"/>
          <w:sz w:val="32"/>
        </w:rPr>
        <w:t>境部、水利部、卫生健康委、市场监管总局等按职责分工负责</w:t>
      </w:r>
      <w:r>
        <w:rPr>
          <w:rFonts w:hint="eastAsia" w:ascii="楷体" w:eastAsia="楷体"/>
          <w:w w:val="95"/>
          <w:sz w:val="32"/>
        </w:rPr>
        <w:t>）</w:t>
      </w:r>
    </w:p>
    <w:p>
      <w:pPr>
        <w:pStyle w:val="10"/>
        <w:numPr>
          <w:ilvl w:val="0"/>
          <w:numId w:val="39"/>
        </w:numPr>
        <w:tabs>
          <w:tab w:val="left" w:pos="1053"/>
        </w:tabs>
        <w:spacing w:before="10" w:after="0" w:line="350" w:lineRule="auto"/>
        <w:ind w:left="171" w:right="429" w:firstLine="638"/>
        <w:jc w:val="both"/>
        <w:rPr>
          <w:rFonts w:hint="eastAsia" w:ascii="楷体" w:eastAsia="楷体"/>
          <w:sz w:val="32"/>
        </w:rPr>
      </w:pPr>
      <w:r>
        <w:rPr>
          <w:spacing w:val="-4"/>
          <w:sz w:val="32"/>
        </w:rPr>
        <w:t xml:space="preserve">对大骨节病高发地区，制定针对病区 </w:t>
      </w:r>
      <w:r>
        <w:rPr>
          <w:rFonts w:ascii="Times New Roman" w:eastAsia="Times New Roman"/>
          <w:sz w:val="32"/>
        </w:rPr>
        <w:t>2</w:t>
      </w:r>
      <w:r>
        <w:rPr>
          <w:sz w:val="32"/>
        </w:rPr>
        <w:t>～</w:t>
      </w:r>
      <w:r>
        <w:rPr>
          <w:rFonts w:ascii="Times New Roman" w:eastAsia="Times New Roman"/>
          <w:sz w:val="32"/>
        </w:rPr>
        <w:t>6</w:t>
      </w:r>
      <w:r>
        <w:rPr>
          <w:rFonts w:ascii="Times New Roman" w:eastAsia="Times New Roman"/>
          <w:spacing w:val="7"/>
          <w:sz w:val="32"/>
        </w:rPr>
        <w:t xml:space="preserve"> </w:t>
      </w:r>
      <w:r>
        <w:rPr>
          <w:sz w:val="32"/>
        </w:rPr>
        <w:t>岁儿童的专项</w:t>
      </w:r>
      <w:r>
        <w:rPr>
          <w:spacing w:val="4"/>
          <w:w w:val="95"/>
          <w:sz w:val="32"/>
        </w:rPr>
        <w:t xml:space="preserve">营养及换粮政策，确保儿童食用非病区粮食。在尊重群众意愿 </w:t>
      </w:r>
      <w:r>
        <w:rPr>
          <w:spacing w:val="5"/>
          <w:w w:val="95"/>
          <w:sz w:val="32"/>
        </w:rPr>
        <w:t>的基础上，将仍有新发病例的病区村进行整体搬迁。</w:t>
      </w:r>
      <w:r>
        <w:rPr>
          <w:rFonts w:hint="eastAsia" w:ascii="楷体" w:eastAsia="楷体"/>
          <w:spacing w:val="5"/>
          <w:w w:val="95"/>
          <w:sz w:val="32"/>
        </w:rPr>
        <w:t>（</w:t>
      </w:r>
      <w:r>
        <w:rPr>
          <w:rFonts w:hint="eastAsia" w:ascii="楷体" w:eastAsia="楷体"/>
          <w:spacing w:val="-1"/>
          <w:w w:val="95"/>
          <w:sz w:val="32"/>
        </w:rPr>
        <w:t xml:space="preserve">发展改 </w:t>
      </w:r>
      <w:r>
        <w:rPr>
          <w:rFonts w:hint="eastAsia" w:ascii="楷体" w:eastAsia="楷体"/>
          <w:spacing w:val="4"/>
          <w:w w:val="95"/>
          <w:sz w:val="32"/>
        </w:rPr>
        <w:t xml:space="preserve">革委、农业农村部、粮食和储备局、国务院扶贫办按职责分工 </w:t>
      </w:r>
      <w:r>
        <w:rPr>
          <w:rFonts w:hint="eastAsia" w:ascii="楷体" w:eastAsia="楷体"/>
          <w:sz w:val="32"/>
        </w:rPr>
        <w:t>负责）</w:t>
      </w:r>
    </w:p>
    <w:p>
      <w:pPr>
        <w:pStyle w:val="10"/>
        <w:numPr>
          <w:ilvl w:val="0"/>
          <w:numId w:val="39"/>
        </w:numPr>
        <w:tabs>
          <w:tab w:val="left" w:pos="1213"/>
        </w:tabs>
        <w:spacing w:before="7" w:after="0" w:line="350" w:lineRule="auto"/>
        <w:ind w:left="171" w:right="429" w:firstLine="638"/>
        <w:jc w:val="left"/>
        <w:rPr>
          <w:sz w:val="32"/>
        </w:rPr>
      </w:pPr>
      <w:r>
        <w:rPr>
          <w:sz w:val="32"/>
        </w:rPr>
        <w:t>做好大骨节病、氟骨症等重症患者的救治帮扶，对于符</w:t>
      </w:r>
      <w:r>
        <w:rPr>
          <w:spacing w:val="4"/>
          <w:w w:val="95"/>
          <w:sz w:val="32"/>
        </w:rPr>
        <w:t>合农村贫困人口条件的患者，按照健康扶贫有关政策要求，加</w:t>
      </w:r>
    </w:p>
    <w:p>
      <w:pPr>
        <w:spacing w:after="0" w:line="350" w:lineRule="auto"/>
        <w:jc w:val="left"/>
        <w:rPr>
          <w:sz w:val="32"/>
        </w:rPr>
        <w:sectPr>
          <w:pgSz w:w="11910" w:h="16840"/>
          <w:pgMar w:top="1540" w:right="1140" w:bottom="1380" w:left="1400" w:header="0" w:footer="1200" w:gutter="0"/>
        </w:sectPr>
      </w:pPr>
    </w:p>
    <w:p>
      <w:pPr>
        <w:pStyle w:val="3"/>
        <w:spacing w:line="350" w:lineRule="auto"/>
        <w:ind w:firstLine="0"/>
      </w:pPr>
      <w:r>
        <w:rPr>
          <w:spacing w:val="4"/>
          <w:w w:val="95"/>
        </w:rPr>
        <w:t>强综合防治和分类救治。对大骨节病、氟骨症等患者进行残疾 评定，将符合条件的纳入残疾保障范围和最低生活保障范围。</w:t>
      </w:r>
    </w:p>
    <w:p>
      <w:pPr>
        <w:pStyle w:val="3"/>
        <w:spacing w:before="3" w:line="350" w:lineRule="auto"/>
        <w:ind w:firstLine="0"/>
        <w:rPr>
          <w:rFonts w:hint="eastAsia" w:ascii="楷体" w:eastAsia="楷体"/>
        </w:rPr>
      </w:pPr>
      <w:r>
        <w:rPr>
          <w:rFonts w:hint="eastAsia" w:ascii="楷体" w:eastAsia="楷体"/>
          <w:spacing w:val="5"/>
          <w:w w:val="95"/>
        </w:rPr>
        <w:t>（</w:t>
      </w:r>
      <w:r>
        <w:rPr>
          <w:rFonts w:hint="eastAsia" w:ascii="楷体" w:eastAsia="楷体"/>
          <w:spacing w:val="4"/>
          <w:w w:val="95"/>
        </w:rPr>
        <w:t xml:space="preserve">卫生健康委牵头，民政部、医保局、国务院扶贫办等按职责 </w:t>
      </w:r>
      <w:r>
        <w:rPr>
          <w:rFonts w:hint="eastAsia" w:ascii="楷体" w:eastAsia="楷体"/>
        </w:rPr>
        <w:t>分工负责）</w:t>
      </w:r>
    </w:p>
    <w:p>
      <w:pPr>
        <w:pStyle w:val="3"/>
        <w:spacing w:before="2"/>
        <w:ind w:left="810" w:right="0" w:firstLine="0"/>
        <w:rPr>
          <w:rFonts w:hint="eastAsia" w:ascii="黑体" w:eastAsia="黑体"/>
        </w:rPr>
      </w:pPr>
      <w:bookmarkStart w:id="85" w:name="四、保障措施"/>
      <w:bookmarkEnd w:id="85"/>
      <w:r>
        <w:rPr>
          <w:rFonts w:hint="eastAsia" w:ascii="黑体" w:eastAsia="黑体"/>
        </w:rPr>
        <w:t>四</w:t>
      </w:r>
      <w:r>
        <w:rPr>
          <w:rFonts w:hint="eastAsia" w:ascii="黑体" w:eastAsia="黑体"/>
          <w:b/>
        </w:rPr>
        <w:t>、</w:t>
      </w:r>
      <w:r>
        <w:rPr>
          <w:rFonts w:hint="eastAsia" w:ascii="黑体" w:eastAsia="黑体"/>
        </w:rPr>
        <w:t>保障措施</w:t>
      </w:r>
    </w:p>
    <w:p>
      <w:pPr>
        <w:pStyle w:val="3"/>
        <w:spacing w:before="190" w:line="350" w:lineRule="auto"/>
        <w:ind w:right="202"/>
        <w:rPr>
          <w:rFonts w:hint="eastAsia" w:ascii="楷体" w:eastAsia="楷体"/>
        </w:rPr>
      </w:pPr>
      <w:bookmarkStart w:id="86" w:name="（一）加强组织领导。健康中国行动推进委员会（以下简称推进委员会）负责《健康中国行"/>
      <w:bookmarkEnd w:id="86"/>
      <w:r>
        <w:rPr>
          <w:rFonts w:hint="eastAsia" w:ascii="楷体" w:eastAsia="楷体"/>
          <w:b/>
        </w:rPr>
        <w:t>（一）加强组织领导。</w:t>
      </w:r>
      <w:r>
        <w:t>健康中国行动推进委员会（以下简</w:t>
      </w:r>
      <w:r>
        <w:rPr>
          <w:w w:val="95"/>
        </w:rPr>
        <w:t xml:space="preserve">称推进委员会）负责《健康中国行动》的组织实施，统筹政府、 </w:t>
      </w:r>
      <w:r>
        <w:t>社会、个人参与健康中国行动，协调全局性工作，指导各地根据本地实际情况研究制定具体行动方案，研究确定年度工作重点并协调落实，组织开展行动监测评估和考核评价，下设专项行动工作组负责推动落实有关任务。各相关部门通力合作、各负其责。各省（区、市）要将落实本行动纳入重要议事日程， 健全领导体制和工作机制，针对本地区威胁居民健康的主要健康问题，研究制定具体行动方案，分阶段、分步骤组织实施， 确保各项工作目标如期实现。推动将健康融入所有政策，巩固提升卫生城镇创建，推进健康城市、健康村镇建设，并建成一批示范市（乡村），开展全民运动健身模范市（县）评选，有效整合资源，形成工作合力，确保行动实效。</w:t>
      </w:r>
      <w:r>
        <w:rPr>
          <w:rFonts w:hint="eastAsia" w:ascii="楷体" w:eastAsia="楷体"/>
        </w:rPr>
        <w:t>（卫生健康委牵头，教育部、体育总局等按职责分工负责，各省级人民政府分别负责）</w:t>
      </w:r>
    </w:p>
    <w:p>
      <w:pPr>
        <w:pStyle w:val="3"/>
        <w:spacing w:before="21" w:line="350" w:lineRule="auto"/>
        <w:ind w:right="270"/>
        <w:jc w:val="both"/>
      </w:pPr>
      <w:bookmarkStart w:id="87" w:name="（二）开展监测评估。监测评估工作由推进委员会统筹领导，各专项行动工作组负责具体组"/>
      <w:bookmarkEnd w:id="87"/>
      <w:r>
        <w:rPr>
          <w:rFonts w:hint="eastAsia" w:ascii="楷体" w:eastAsia="楷体"/>
          <w:b/>
        </w:rPr>
        <w:t>（二）开展监测评估。</w:t>
      </w:r>
      <w:r>
        <w:t>监测评估工作由推进委员会统筹领导，各专项行动工作组负责具体组织实施。在推进委员会的领</w:t>
      </w:r>
      <w:r>
        <w:rPr>
          <w:w w:val="95"/>
        </w:rPr>
        <w:t>导下，各专项行动工作组围绕行动提出的目标指标和行动举措，</w:t>
      </w:r>
    </w:p>
    <w:p>
      <w:pPr>
        <w:spacing w:after="0" w:line="350" w:lineRule="auto"/>
        <w:jc w:val="both"/>
        <w:sectPr>
          <w:pgSz w:w="11910" w:h="16840"/>
          <w:pgMar w:top="1540" w:right="1140" w:bottom="1380" w:left="1400" w:header="0" w:footer="1200" w:gutter="0"/>
        </w:sectPr>
      </w:pPr>
    </w:p>
    <w:p>
      <w:pPr>
        <w:pStyle w:val="3"/>
        <w:spacing w:line="350" w:lineRule="auto"/>
        <w:ind w:right="270" w:firstLine="0"/>
        <w:rPr>
          <w:rFonts w:hint="eastAsia" w:ascii="楷体" w:eastAsia="楷体"/>
        </w:rPr>
      </w:pPr>
      <w:r>
        <w:rPr>
          <w:spacing w:val="4"/>
        </w:rPr>
        <w:t>健全指标体系，制定监测评估工作方案。以现有统计数据为基础，完善监测评估体系，依托互联网和大数据，发挥第三方组织作用，对主要倡导性指标和预期性指标、重点任务的实施进度和效果进行年度监测评估。各专项行动工作组根据监测情况每年形成各专项行动实施进展专题报告，推进委员会办公室发挥第三方组织作用，形成总体监测评估报告，经推进委员会同</w:t>
      </w:r>
      <w:r>
        <w:rPr>
          <w:spacing w:val="5"/>
        </w:rPr>
        <w:t>意后上报国务院并通报各有关部门和各省（区、市）</w:t>
      </w:r>
      <w:r>
        <w:rPr>
          <w:spacing w:val="3"/>
        </w:rPr>
        <w:t>党委、政</w:t>
      </w:r>
      <w:r>
        <w:rPr>
          <w:spacing w:val="5"/>
        </w:rPr>
        <w:t>府。在监测评估基础上，适时发布监测评估报告。各省（</w:t>
      </w:r>
      <w:r>
        <w:rPr>
          <w:spacing w:val="2"/>
        </w:rPr>
        <w:t>区、</w:t>
      </w:r>
      <w:r>
        <w:rPr>
          <w:spacing w:val="2"/>
          <w:w w:val="95"/>
        </w:rPr>
        <w:t>市</w:t>
      </w:r>
      <w:r>
        <w:rPr>
          <w:spacing w:val="-10"/>
          <w:w w:val="95"/>
        </w:rPr>
        <w:t>）</w:t>
      </w:r>
      <w:r>
        <w:rPr>
          <w:spacing w:val="-2"/>
          <w:w w:val="95"/>
        </w:rPr>
        <w:t>按要求开展本地区监测评估。</w:t>
      </w:r>
      <w:r>
        <w:rPr>
          <w:rFonts w:hint="eastAsia" w:ascii="楷体" w:eastAsia="楷体"/>
          <w:w w:val="95"/>
        </w:rPr>
        <w:t>（</w:t>
      </w:r>
      <w:r>
        <w:rPr>
          <w:rFonts w:hint="eastAsia" w:ascii="楷体" w:eastAsia="楷体"/>
          <w:spacing w:val="-1"/>
          <w:w w:val="95"/>
        </w:rPr>
        <w:t xml:space="preserve">卫生健康委牵头，财政部、 </w:t>
      </w:r>
      <w:r>
        <w:rPr>
          <w:rFonts w:hint="eastAsia" w:ascii="楷体" w:eastAsia="楷体"/>
          <w:spacing w:val="-1"/>
        </w:rPr>
        <w:t>统计局等按职责分工负责，各省级人民政府分别负责）</w:t>
      </w:r>
    </w:p>
    <w:p>
      <w:pPr>
        <w:pStyle w:val="3"/>
        <w:spacing w:before="14" w:line="350" w:lineRule="auto"/>
        <w:ind w:right="270"/>
        <w:jc w:val="both"/>
        <w:rPr>
          <w:rFonts w:hint="eastAsia" w:ascii="楷体" w:eastAsia="楷体"/>
        </w:rPr>
      </w:pPr>
      <w:bookmarkStart w:id="88" w:name="（三）建立绩效考核评价机制。把《健康中国行动》实施情况作为健康中国建设国家总体考"/>
      <w:bookmarkEnd w:id="88"/>
      <w:r>
        <w:rPr>
          <w:rFonts w:hint="eastAsia" w:ascii="楷体" w:eastAsia="楷体"/>
          <w:b/>
        </w:rPr>
        <w:t>（三）建立绩效考核评价机制。</w:t>
      </w:r>
      <w:r>
        <w:t xml:space="preserve">把《健康中国行动》实施情况作为健康中国建设国家总体考核评价的重要内容，强化各地党委、政府和各有关部门的落实责任。建立督导制度，每年开展一次专项督导。针对主要指标和重要任务，制定考核评价办法，强化对约束性指标的年度考核。建立考核问责机制，对各地区、各部门、各单位等的落实情况进行考核评价，把考评结果作为对各地区、各相关部门绩效考核的重要依据。对考评结果好的地区和部门，予以通报表扬并按照有关规定给予适当奖励；对进度滞后、工作不力的地区和部门，及时约谈并督促整改。各相关责任部门每半年向推进委员会报告工作进展。充分调动社会组织、企业的积极性，发挥行业协（学）会作用， </w:t>
      </w:r>
      <w:r>
        <w:rPr>
          <w:w w:val="95"/>
        </w:rPr>
        <w:t>做好专项调查，探索建立第三方考核评价机制。</w:t>
      </w:r>
      <w:r>
        <w:rPr>
          <w:rFonts w:hint="eastAsia" w:ascii="楷体" w:eastAsia="楷体"/>
          <w:w w:val="95"/>
        </w:rPr>
        <w:t>（中央组织部、</w:t>
      </w:r>
    </w:p>
    <w:p>
      <w:pPr>
        <w:spacing w:after="0" w:line="350" w:lineRule="auto"/>
        <w:jc w:val="both"/>
        <w:rPr>
          <w:rFonts w:hint="eastAsia" w:ascii="楷体" w:eastAsia="楷体"/>
        </w:rPr>
        <w:sectPr>
          <w:pgSz w:w="11910" w:h="16840"/>
          <w:pgMar w:top="1540" w:right="1140" w:bottom="1380" w:left="1400" w:header="0" w:footer="1200" w:gutter="0"/>
        </w:sectPr>
      </w:pPr>
    </w:p>
    <w:p>
      <w:pPr>
        <w:pStyle w:val="3"/>
        <w:spacing w:line="350" w:lineRule="auto"/>
        <w:ind w:firstLine="0"/>
        <w:rPr>
          <w:rFonts w:hint="eastAsia" w:ascii="楷体" w:eastAsia="楷体"/>
        </w:rPr>
      </w:pPr>
      <w:r>
        <w:rPr>
          <w:rFonts w:hint="eastAsia" w:ascii="楷体" w:eastAsia="楷体"/>
          <w:spacing w:val="4"/>
          <w:w w:val="95"/>
        </w:rPr>
        <w:t xml:space="preserve">财政部、卫生健康委等按职责分工负责，各省级人民政府分别 </w:t>
      </w:r>
      <w:r>
        <w:rPr>
          <w:rFonts w:hint="eastAsia" w:ascii="楷体" w:eastAsia="楷体"/>
        </w:rPr>
        <w:t>负责）</w:t>
      </w:r>
    </w:p>
    <w:p>
      <w:pPr>
        <w:pStyle w:val="3"/>
        <w:spacing w:before="3" w:line="350" w:lineRule="auto"/>
        <w:ind w:right="427"/>
        <w:jc w:val="both"/>
        <w:rPr>
          <w:rFonts w:hint="eastAsia" w:ascii="楷体" w:hAnsi="楷体" w:eastAsia="楷体"/>
        </w:rPr>
      </w:pPr>
      <w:bookmarkStart w:id="89" w:name="（四）健全支撑体系。在推进委员会的领导下，从相关领域遴选专家，成立国家专家咨询委"/>
      <w:bookmarkEnd w:id="89"/>
      <w:r>
        <w:rPr>
          <w:rFonts w:hint="eastAsia" w:ascii="楷体" w:hAnsi="楷体" w:eastAsia="楷体"/>
          <w:b/>
          <w:spacing w:val="7"/>
          <w:w w:val="95"/>
        </w:rPr>
        <w:t>（四</w:t>
      </w:r>
      <w:r>
        <w:rPr>
          <w:rFonts w:hint="eastAsia" w:ascii="楷体" w:hAnsi="楷体" w:eastAsia="楷体"/>
          <w:b/>
          <w:spacing w:val="5"/>
          <w:w w:val="95"/>
        </w:rPr>
        <w:t>）</w:t>
      </w:r>
      <w:r>
        <w:rPr>
          <w:rFonts w:hint="eastAsia" w:ascii="楷体" w:hAnsi="楷体" w:eastAsia="楷体"/>
          <w:b/>
          <w:spacing w:val="6"/>
          <w:w w:val="95"/>
        </w:rPr>
        <w:t>健全支撑体系。</w:t>
      </w:r>
      <w:r>
        <w:rPr>
          <w:spacing w:val="3"/>
          <w:w w:val="95"/>
        </w:rPr>
        <w:t xml:space="preserve">在推进委员会的领导下，从相关领 </w:t>
      </w:r>
      <w:r>
        <w:rPr>
          <w:spacing w:val="5"/>
          <w:w w:val="95"/>
        </w:rPr>
        <w:t>域遴选专家，成立国家专家咨询委员会，各省</w:t>
      </w:r>
      <w:r>
        <w:rPr>
          <w:spacing w:val="7"/>
          <w:w w:val="95"/>
        </w:rPr>
        <w:t>（</w:t>
      </w:r>
      <w:r>
        <w:rPr>
          <w:spacing w:val="5"/>
          <w:w w:val="95"/>
        </w:rPr>
        <w:t>区、市）</w:t>
      </w:r>
      <w:r>
        <w:rPr>
          <w:spacing w:val="-4"/>
          <w:w w:val="95"/>
        </w:rPr>
        <w:t xml:space="preserve">成立 </w:t>
      </w:r>
      <w:r>
        <w:rPr>
          <w:spacing w:val="4"/>
          <w:w w:val="95"/>
        </w:rPr>
        <w:t xml:space="preserve">省级专家咨询委员会，为行动实施提供技术支撑，及时提出行 动调整建议，并完善相关指南和技术规范。医疗保障制度要坚 持保基本原则，合理确定基本医保待遇标准，使保障水平与经 济社会发展水平相适应。从治疗方案标准、评估指标明确的慢 性病入手，开展特殊慢性病按人头付费，鼓励医疗机构做好健 </w:t>
      </w:r>
      <w:r>
        <w:rPr>
          <w:spacing w:val="-2"/>
        </w:rPr>
        <w:t>康管理。促进</w:t>
      </w:r>
      <w:r>
        <w:rPr>
          <w:rFonts w:ascii="Times New Roman" w:hAnsi="Times New Roman" w:eastAsia="Times New Roman"/>
        </w:rPr>
        <w:t>“</w:t>
      </w:r>
      <w:r>
        <w:t>互联网</w:t>
      </w:r>
      <w:r>
        <w:rPr>
          <w:rFonts w:ascii="Times New Roman" w:hAnsi="Times New Roman" w:eastAsia="Times New Roman"/>
        </w:rPr>
        <w:t>+</w:t>
      </w:r>
      <w:r>
        <w:t>医疗健康</w:t>
      </w:r>
      <w:r>
        <w:rPr>
          <w:rFonts w:ascii="Times New Roman" w:hAnsi="Times New Roman" w:eastAsia="Times New Roman"/>
        </w:rPr>
        <w:t>”</w:t>
      </w:r>
      <w:r>
        <w:rPr>
          <w:spacing w:val="-3"/>
        </w:rPr>
        <w:t>发展，创新服务模式。加大政</w:t>
      </w:r>
      <w:r>
        <w:rPr>
          <w:spacing w:val="4"/>
          <w:w w:val="95"/>
        </w:rPr>
        <w:t xml:space="preserve">府投入力度，强化支持引导，确保行动落实到位。依托社会力 量依法成立健康中国行动基金会，为行动重点工作实施提供支 持。鼓励金融机构创新产品和服务，推动形成资金来源多元化 的保障机制。针对行动实施中的关键技术，结合国家科技重大 专项、重点研发计划，加强科技攻关，对各项行动给予支持； 同步开展卫生技术评估，不断增强行动的科学性、有效性和经 济性。完善相关法律法规体系，以法治保障健康中国建设任务 </w:t>
      </w:r>
      <w:r>
        <w:rPr>
          <w:spacing w:val="5"/>
          <w:w w:val="95"/>
        </w:rPr>
        <w:t>落实和目标实现。</w:t>
      </w:r>
      <w:r>
        <w:rPr>
          <w:rFonts w:hint="eastAsia" w:ascii="楷体" w:hAnsi="楷体" w:eastAsia="楷体"/>
          <w:spacing w:val="5"/>
          <w:w w:val="95"/>
        </w:rPr>
        <w:t>（</w:t>
      </w:r>
      <w:r>
        <w:rPr>
          <w:rFonts w:hint="eastAsia" w:ascii="楷体" w:hAnsi="楷体" w:eastAsia="楷体"/>
          <w:spacing w:val="4"/>
          <w:w w:val="95"/>
        </w:rPr>
        <w:t xml:space="preserve">卫生健康委牵头，发展改革委、科技部、 民政部、财政部、人民银行、医保局、银保监会、证监会等按 </w:t>
      </w:r>
      <w:r>
        <w:rPr>
          <w:rFonts w:hint="eastAsia" w:ascii="楷体" w:hAnsi="楷体" w:eastAsia="楷体"/>
        </w:rPr>
        <w:t>职责分工负责，各省级人民政府分别负责）</w:t>
      </w:r>
    </w:p>
    <w:p>
      <w:pPr>
        <w:pStyle w:val="3"/>
        <w:spacing w:before="25" w:line="350" w:lineRule="auto"/>
        <w:ind w:right="427"/>
        <w:jc w:val="both"/>
      </w:pPr>
      <w:bookmarkStart w:id="90" w:name="（五）加强宣传引导。设立健康中国行动专题网站，大力宣传实施行动、促进全民健康的重"/>
      <w:bookmarkEnd w:id="90"/>
      <w:r>
        <w:rPr>
          <w:rFonts w:hint="eastAsia" w:ascii="楷体" w:eastAsia="楷体"/>
          <w:b/>
          <w:spacing w:val="7"/>
          <w:w w:val="95"/>
        </w:rPr>
        <w:t>（五</w:t>
      </w:r>
      <w:r>
        <w:rPr>
          <w:rFonts w:hint="eastAsia" w:ascii="楷体" w:eastAsia="楷体"/>
          <w:b/>
          <w:spacing w:val="5"/>
          <w:w w:val="95"/>
        </w:rPr>
        <w:t>）</w:t>
      </w:r>
      <w:r>
        <w:rPr>
          <w:rFonts w:hint="eastAsia" w:ascii="楷体" w:eastAsia="楷体"/>
          <w:b/>
          <w:spacing w:val="6"/>
          <w:w w:val="95"/>
        </w:rPr>
        <w:t>加强宣传引导。</w:t>
      </w:r>
      <w:r>
        <w:rPr>
          <w:spacing w:val="3"/>
          <w:w w:val="95"/>
        </w:rPr>
        <w:t xml:space="preserve">设立健康中国行动专题网站，大力 </w:t>
      </w:r>
      <w:r>
        <w:rPr>
          <w:spacing w:val="4"/>
          <w:w w:val="95"/>
        </w:rPr>
        <w:t>宣传实施行动、促进全民健康的重大意义、目标任务和重大举 措。各有关责任部门要根据本行动要求，编制群众喜闻乐见的</w:t>
      </w:r>
    </w:p>
    <w:p>
      <w:pPr>
        <w:spacing w:after="0" w:line="350" w:lineRule="auto"/>
        <w:jc w:val="both"/>
        <w:sectPr>
          <w:pgSz w:w="11910" w:h="16840"/>
          <w:pgMar w:top="1540" w:right="1140" w:bottom="1380" w:left="1400" w:header="0" w:footer="1200" w:gutter="0"/>
        </w:sectPr>
      </w:pPr>
    </w:p>
    <w:p>
      <w:pPr>
        <w:pStyle w:val="3"/>
        <w:spacing w:line="350" w:lineRule="auto"/>
        <w:ind w:right="427" w:firstLine="0"/>
        <w:jc w:val="both"/>
        <w:rPr>
          <w:rFonts w:hint="eastAsia" w:ascii="楷体" w:hAnsi="楷体" w:eastAsia="楷体"/>
        </w:rPr>
      </w:pPr>
      <w:r>
        <w:rPr>
          <w:spacing w:val="4"/>
          <w:w w:val="95"/>
        </w:rPr>
        <w:t xml:space="preserve">解读材料和文艺作品，并以有效方式引导群众了解和掌握，推 </w:t>
      </w:r>
      <w:r>
        <w:rPr>
          <w:spacing w:val="-3"/>
        </w:rPr>
        <w:t>动个人践行健康生活方式。设立健康形象大使，评选一批</w:t>
      </w:r>
      <w:r>
        <w:rPr>
          <w:rFonts w:ascii="Times New Roman" w:hAnsi="Times New Roman" w:eastAsia="Times New Roman"/>
        </w:rPr>
        <w:t>“</w:t>
      </w:r>
      <w:r>
        <w:t>健康达人</w:t>
      </w:r>
      <w:r>
        <w:rPr>
          <w:rFonts w:ascii="Times New Roman" w:hAnsi="Times New Roman" w:eastAsia="Times New Roman"/>
        </w:rPr>
        <w:t>”</w:t>
      </w:r>
      <w:r>
        <w:t>，发挥形象大使和</w:t>
      </w:r>
      <w:r>
        <w:rPr>
          <w:rFonts w:ascii="Times New Roman" w:hAnsi="Times New Roman" w:eastAsia="Times New Roman"/>
        </w:rPr>
        <w:t>“</w:t>
      </w:r>
      <w:r>
        <w:t>健康达人</w:t>
      </w:r>
      <w:r>
        <w:rPr>
          <w:rFonts w:ascii="Times New Roman" w:hAnsi="Times New Roman" w:eastAsia="Times New Roman"/>
        </w:rPr>
        <w:t>”</w:t>
      </w:r>
      <w:r>
        <w:t>的示范引领作用。加强正面</w:t>
      </w:r>
      <w:r>
        <w:rPr>
          <w:spacing w:val="4"/>
          <w:w w:val="95"/>
        </w:rPr>
        <w:t xml:space="preserve">宣传、科学引导和典型报道，增强社会的普遍认知，营造良好 的社会氛围。高度重视医疗卫生机构和医务人员在行动实施中 的重要作用，完善培养培训、服务标准、绩效考核等制度，鼓 </w:t>
      </w:r>
      <w:r>
        <w:rPr>
          <w:spacing w:val="-1"/>
        </w:rPr>
        <w:t>励引导广大医务人员践行</w:t>
      </w:r>
      <w:r>
        <w:rPr>
          <w:rFonts w:ascii="Times New Roman" w:hAnsi="Times New Roman" w:eastAsia="Times New Roman"/>
        </w:rPr>
        <w:t>“</w:t>
      </w:r>
      <w:r>
        <w:rPr>
          <w:spacing w:val="-12"/>
        </w:rPr>
        <w:t>大卫生、大健康</w:t>
      </w:r>
      <w:r>
        <w:rPr>
          <w:rFonts w:ascii="Times New Roman" w:hAnsi="Times New Roman" w:eastAsia="Times New Roman"/>
        </w:rPr>
        <w:t>”</w:t>
      </w:r>
      <w:r>
        <w:rPr>
          <w:spacing w:val="-11"/>
        </w:rPr>
        <w:t>理念，做好健康促进</w:t>
      </w:r>
      <w:r>
        <w:rPr>
          <w:spacing w:val="4"/>
          <w:w w:val="95"/>
        </w:rPr>
        <w:t>与教育工作。</w:t>
      </w:r>
      <w:r>
        <w:rPr>
          <w:rFonts w:hint="eastAsia" w:ascii="楷体" w:hAnsi="楷体" w:eastAsia="楷体"/>
          <w:spacing w:val="5"/>
          <w:w w:val="95"/>
        </w:rPr>
        <w:t>（</w:t>
      </w:r>
      <w:r>
        <w:rPr>
          <w:rFonts w:hint="eastAsia" w:ascii="楷体" w:hAnsi="楷体" w:eastAsia="楷体"/>
          <w:spacing w:val="4"/>
          <w:w w:val="95"/>
        </w:rPr>
        <w:t xml:space="preserve">卫生健康委牵头，中央宣传部、中央网信办、 广电总局、全国总工会、共青团中央、全国妇联等按职责分工 </w:t>
      </w:r>
      <w:r>
        <w:rPr>
          <w:rFonts w:hint="eastAsia" w:ascii="楷体" w:hAnsi="楷体" w:eastAsia="楷体"/>
        </w:rPr>
        <w:t>负责）</w:t>
      </w:r>
    </w:p>
    <w:sectPr>
      <w:pgSz w:w="11910" w:h="16840"/>
      <w:pgMar w:top="1540" w:right="1140" w:bottom="1380" w:left="1400" w:header="0" w:footer="120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17"/>
      </w:rPr>
    </w:pPr>
    <w:r>
      <mc:AlternateContent>
        <mc:Choice Requires="wps">
          <w:drawing>
            <wp:anchor distT="0" distB="0" distL="114300" distR="114300" simplePos="0" relativeHeight="245297152" behindDoc="1" locked="0" layoutInCell="1" allowOverlap="1">
              <wp:simplePos x="0" y="0"/>
              <wp:positionH relativeFrom="page">
                <wp:posOffset>3726180</wp:posOffset>
              </wp:positionH>
              <wp:positionV relativeFrom="page">
                <wp:posOffset>9790430</wp:posOffset>
              </wp:positionV>
              <wp:extent cx="107950" cy="170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70815"/>
                      </a:xfrm>
                      <a:prstGeom prst="rect">
                        <a:avLst/>
                      </a:prstGeom>
                      <a:noFill/>
                      <a:ln>
                        <a:noFill/>
                      </a:ln>
                    </wps:spPr>
                    <wps:txbx>
                      <w:txbxContent>
                        <w:p>
                          <w:pPr>
                            <w:spacing w:before="41"/>
                            <w:ind w:left="40" w:right="0" w:firstLine="0"/>
                            <w:jc w:val="left"/>
                            <w:rPr>
                              <w:rFonts w:ascii="Times New Roman"/>
                              <w:sz w:val="18"/>
                            </w:rPr>
                          </w:pPr>
                          <w:r>
                            <w:fldChar w:fldCharType="begin"/>
                          </w:r>
                          <w:r>
                            <w:rPr>
                              <w:rFonts w:ascii="Times New Roman"/>
                              <w:sz w:val="18"/>
                            </w:rPr>
                            <w:instrText xml:space="preserve"> PAGE </w:instrText>
                          </w:r>
                          <w:r>
                            <w:fldChar w:fldCharType="separate"/>
                          </w:r>
                          <w:r>
                            <w:t>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70.9pt;height:13.45pt;width:8.5pt;mso-position-horizontal-relative:page;mso-position-vertical-relative:page;z-index:-258019328;mso-width-relative:page;mso-height-relative:page;" filled="f" stroked="f" coordsize="21600,21600" o:gfxdata="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qwRDNkAAAANAQAADwAAAAAAAAAB&#10;ACAAAAAiAAAAZHJzL2Rvd25yZXYueG1sUEsBAhQAFAAAAAgAh07iQM+qlkOdAQAAIwMAAA4AAAAA&#10;AAAAAQAgAAAAKAEAAGRycy9lMm9Eb2MueG1sUEsFBgAAAAAGAAYAWQEAADcFAAAAAA==&#10;">
              <v:fill on="f" focussize="0,0"/>
              <v:stroke on="f"/>
              <v:imagedata o:title=""/>
              <o:lock v:ext="edit" aspectratio="f"/>
              <v:textbox inset="0mm,0mm,0mm,0mm">
                <w:txbxContent>
                  <w:p>
                    <w:pPr>
                      <w:spacing w:before="41"/>
                      <w:ind w:left="40" w:right="0" w:firstLine="0"/>
                      <w:jc w:val="left"/>
                      <w:rPr>
                        <w:rFonts w:ascii="Times New Roman"/>
                        <w:sz w:val="18"/>
                      </w:rPr>
                    </w:pPr>
                    <w:r>
                      <w:fldChar w:fldCharType="begin"/>
                    </w:r>
                    <w:r>
                      <w:rPr>
                        <w:rFonts w:ascii="Times New Roman"/>
                        <w:sz w:val="18"/>
                      </w:rPr>
                      <w:instrText xml:space="preserve"> PAGE </w:instrText>
                    </w:r>
                    <w:r>
                      <w:fldChar w:fldCharType="separate"/>
                    </w:r>
                    <w:r>
                      <w:t>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306368"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90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0112;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2aYj/aAAAADQEAAA8AAAAAAAAA&#10;AQAgAAAAIgAAAGRycy9kb3ducmV2LnhtbFBLAQIUABQAAAAIAIdO4kAzySfLnQEAACUDAAAOAAAA&#10;AAAAAAEAIAAAACkBAABkcnMvZTJvRG9jLnhtbFBLBQYAAAAABgAGAFkBAAA4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90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307392" behindDoc="1" locked="0" layoutInCell="1" allowOverlap="1">
              <wp:simplePos x="0" y="0"/>
              <wp:positionH relativeFrom="page">
                <wp:posOffset>3668395</wp:posOffset>
              </wp:positionH>
              <wp:positionV relativeFrom="page">
                <wp:posOffset>9790430</wp:posOffset>
              </wp:positionV>
              <wp:extent cx="222250"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85pt;margin-top:770.9pt;height:12pt;width:17.5pt;mso-position-horizontal-relative:page;mso-position-vertical-relative:page;z-index:-258009088;mso-width-relative:page;mso-height-relative:page;" filled="f" stroked="f" coordsize="21600,21600" o:gfxdata="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Kpik7aAAAADQEAAA8AAAAAAAAA&#10;AQAgAAAAIgAAAGRycy9kb3ducmV2LnhtbFBLAQIUABQAAAAIAIdO4kAf37JknQEAACUDAAAOAAAA&#10;AAAAAAEAIAAAACkBAABkcnMvZTJvRG9jLnhtbFBLBQYAAAAABgAGAFkBAAA4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298176"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8304;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mmI/2gAAAA0BAAAPAAAAAAAA&#10;AAEAIAAAACIAAABkcnMvZG93bnJldi54bWxQSwECFAAUAAAACACHTuJANwrqLp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299200"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7280;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mmI/2gAAAA0BAAAPAAAAAAAA&#10;AAEAIAAAACIAAABkcnMvZG93bnJldi54bWxQSwECFAAUAAAACACHTuJAwvvDjZ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300224"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6256;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mmI/2gAAAA0BAAAPAAAAAAAA&#10;AAEAIAAAACIAAABkcnMvZG93bnJldi54bWxQSwECFAAUAAAACACHTuJAiyL8Up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301248"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5232;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mmI/2gAAAA0BAAAPAAAAAAAA&#10;AAEAIAAAACIAAABkcnMvZG93bnJldi54bWxQSwECFAAUAAAACACHTuJAftPV8Z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302272"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4208;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mmI/2gAAAA0BAAAPAAAAAAAA&#10;AAEAIAAAACIAAABkcnMvZG93bnJldi54bWxQSwECFAAUAAAACACHTuJAIMfez5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303296"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3184;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mmI/2gAAAA0BAAAPAAAAAAAA&#10;AAEAIAAAACIAAABkcnMvZG93bnJldi54bWxQSwECFAAUAAAACACHTuJA1Tb3bJ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304320"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2160;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mmI/2gAAAA0BAAAPAAAAAAAA&#10;AAEAIAAAACIAAABkcnMvZG93bnJldi54bWxQSwECFAAUAAAACACHTuJA83PQqp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45305344"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8011136;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mmI/2gAAAA0BAAAPAAAAAAAA&#10;AAEAIAAAACIAAABkcnMvZG93bnJldi54bWxQSwECFAAUAAAACACHTuJABoL5CZ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
    <w:nsid w:val="9239341B"/>
    <w:multiLevelType w:val="multilevel"/>
    <w:tmpl w:val="9239341B"/>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3">
    <w:nsid w:val="9288B902"/>
    <w:multiLevelType w:val="multilevel"/>
    <w:tmpl w:val="9288B902"/>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4">
    <w:nsid w:val="9C8AC8EF"/>
    <w:multiLevelType w:val="multilevel"/>
    <w:tmpl w:val="9C8AC8EF"/>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5">
    <w:nsid w:val="B0F1ACD9"/>
    <w:multiLevelType w:val="multilevel"/>
    <w:tmpl w:val="B0F1ACD9"/>
    <w:lvl w:ilvl="0" w:tentative="0">
      <w:start w:val="7"/>
      <w:numFmt w:val="decimal"/>
      <w:lvlText w:val="%1"/>
      <w:lvlJc w:val="left"/>
      <w:pPr>
        <w:ind w:left="172" w:hanging="639"/>
        <w:jc w:val="left"/>
      </w:pPr>
      <w:rPr>
        <w:rFonts w:hint="default"/>
        <w:lang w:val="zh-CN" w:eastAsia="zh-CN" w:bidi="zh-CN"/>
      </w:rPr>
    </w:lvl>
    <w:lvl w:ilvl="1" w:tentative="0">
      <w:start w:val="76"/>
      <w:numFmt w:val="decimal"/>
      <w:lvlText w:val="%1.%2"/>
      <w:lvlJc w:val="left"/>
      <w:pPr>
        <w:ind w:left="172" w:hanging="639"/>
        <w:jc w:val="left"/>
      </w:pPr>
      <w:rPr>
        <w:rFonts w:hint="default" w:ascii="Times New Roman" w:hAnsi="Times New Roman" w:eastAsia="Times New Roman" w:cs="Times New Roman"/>
        <w:spacing w:val="-1"/>
        <w:w w:val="99"/>
        <w:sz w:val="32"/>
        <w:szCs w:val="32"/>
        <w:lang w:val="zh-CN" w:eastAsia="zh-CN" w:bidi="zh-CN"/>
      </w:rPr>
    </w:lvl>
    <w:lvl w:ilvl="2" w:tentative="0">
      <w:start w:val="1"/>
      <w:numFmt w:val="decimal"/>
      <w:lvlText w:val="%3."/>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6">
    <w:nsid w:val="B5E306ED"/>
    <w:multiLevelType w:val="multilevel"/>
    <w:tmpl w:val="B5E306ED"/>
    <w:lvl w:ilvl="0" w:tentative="0">
      <w:start w:val="1"/>
      <w:numFmt w:val="decimal"/>
      <w:lvlText w:val="%1."/>
      <w:lvlJc w:val="left"/>
      <w:pPr>
        <w:ind w:left="172" w:hanging="248"/>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8"/>
      </w:pPr>
      <w:rPr>
        <w:rFonts w:hint="default"/>
        <w:lang w:val="zh-CN" w:eastAsia="zh-CN" w:bidi="zh-CN"/>
      </w:rPr>
    </w:lvl>
    <w:lvl w:ilvl="2" w:tentative="0">
      <w:start w:val="0"/>
      <w:numFmt w:val="bullet"/>
      <w:lvlText w:val="•"/>
      <w:lvlJc w:val="left"/>
      <w:pPr>
        <w:ind w:left="2017" w:hanging="248"/>
      </w:pPr>
      <w:rPr>
        <w:rFonts w:hint="default"/>
        <w:lang w:val="zh-CN" w:eastAsia="zh-CN" w:bidi="zh-CN"/>
      </w:rPr>
    </w:lvl>
    <w:lvl w:ilvl="3" w:tentative="0">
      <w:start w:val="0"/>
      <w:numFmt w:val="bullet"/>
      <w:lvlText w:val="•"/>
      <w:lvlJc w:val="left"/>
      <w:pPr>
        <w:ind w:left="2935" w:hanging="248"/>
      </w:pPr>
      <w:rPr>
        <w:rFonts w:hint="default"/>
        <w:lang w:val="zh-CN" w:eastAsia="zh-CN" w:bidi="zh-CN"/>
      </w:rPr>
    </w:lvl>
    <w:lvl w:ilvl="4" w:tentative="0">
      <w:start w:val="0"/>
      <w:numFmt w:val="bullet"/>
      <w:lvlText w:val="•"/>
      <w:lvlJc w:val="left"/>
      <w:pPr>
        <w:ind w:left="3854" w:hanging="248"/>
      </w:pPr>
      <w:rPr>
        <w:rFonts w:hint="default"/>
        <w:lang w:val="zh-CN" w:eastAsia="zh-CN" w:bidi="zh-CN"/>
      </w:rPr>
    </w:lvl>
    <w:lvl w:ilvl="5" w:tentative="0">
      <w:start w:val="0"/>
      <w:numFmt w:val="bullet"/>
      <w:lvlText w:val="•"/>
      <w:lvlJc w:val="left"/>
      <w:pPr>
        <w:ind w:left="4773" w:hanging="248"/>
      </w:pPr>
      <w:rPr>
        <w:rFonts w:hint="default"/>
        <w:lang w:val="zh-CN" w:eastAsia="zh-CN" w:bidi="zh-CN"/>
      </w:rPr>
    </w:lvl>
    <w:lvl w:ilvl="6" w:tentative="0">
      <w:start w:val="0"/>
      <w:numFmt w:val="bullet"/>
      <w:lvlText w:val="•"/>
      <w:lvlJc w:val="left"/>
      <w:pPr>
        <w:ind w:left="5691" w:hanging="248"/>
      </w:pPr>
      <w:rPr>
        <w:rFonts w:hint="default"/>
        <w:lang w:val="zh-CN" w:eastAsia="zh-CN" w:bidi="zh-CN"/>
      </w:rPr>
    </w:lvl>
    <w:lvl w:ilvl="7" w:tentative="0">
      <w:start w:val="0"/>
      <w:numFmt w:val="bullet"/>
      <w:lvlText w:val="•"/>
      <w:lvlJc w:val="left"/>
      <w:pPr>
        <w:ind w:left="6610" w:hanging="248"/>
      </w:pPr>
      <w:rPr>
        <w:rFonts w:hint="default"/>
        <w:lang w:val="zh-CN" w:eastAsia="zh-CN" w:bidi="zh-CN"/>
      </w:rPr>
    </w:lvl>
    <w:lvl w:ilvl="8" w:tentative="0">
      <w:start w:val="0"/>
      <w:numFmt w:val="bullet"/>
      <w:lvlText w:val="•"/>
      <w:lvlJc w:val="left"/>
      <w:pPr>
        <w:ind w:left="7528" w:hanging="248"/>
      </w:pPr>
      <w:rPr>
        <w:rFonts w:hint="default"/>
        <w:lang w:val="zh-CN" w:eastAsia="zh-CN" w:bidi="zh-CN"/>
      </w:rPr>
    </w:lvl>
  </w:abstractNum>
  <w:abstractNum w:abstractNumId="7">
    <w:nsid w:val="BE923771"/>
    <w:multiLevelType w:val="multilevel"/>
    <w:tmpl w:val="BE923771"/>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8">
    <w:nsid w:val="BF205925"/>
    <w:multiLevelType w:val="multilevel"/>
    <w:tmpl w:val="BF205925"/>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9">
    <w:nsid w:val="C8879AEF"/>
    <w:multiLevelType w:val="multilevel"/>
    <w:tmpl w:val="C8879AEF"/>
    <w:lvl w:ilvl="0" w:tentative="0">
      <w:start w:val="1"/>
      <w:numFmt w:val="decimal"/>
      <w:lvlText w:val="%1."/>
      <w:lvlJc w:val="left"/>
      <w:pPr>
        <w:ind w:left="172" w:hanging="250"/>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50"/>
      </w:pPr>
      <w:rPr>
        <w:rFonts w:hint="default"/>
        <w:lang w:val="zh-CN" w:eastAsia="zh-CN" w:bidi="zh-CN"/>
      </w:rPr>
    </w:lvl>
    <w:lvl w:ilvl="2" w:tentative="0">
      <w:start w:val="0"/>
      <w:numFmt w:val="bullet"/>
      <w:lvlText w:val="•"/>
      <w:lvlJc w:val="left"/>
      <w:pPr>
        <w:ind w:left="2017" w:hanging="250"/>
      </w:pPr>
      <w:rPr>
        <w:rFonts w:hint="default"/>
        <w:lang w:val="zh-CN" w:eastAsia="zh-CN" w:bidi="zh-CN"/>
      </w:rPr>
    </w:lvl>
    <w:lvl w:ilvl="3" w:tentative="0">
      <w:start w:val="0"/>
      <w:numFmt w:val="bullet"/>
      <w:lvlText w:val="•"/>
      <w:lvlJc w:val="left"/>
      <w:pPr>
        <w:ind w:left="2935" w:hanging="250"/>
      </w:pPr>
      <w:rPr>
        <w:rFonts w:hint="default"/>
        <w:lang w:val="zh-CN" w:eastAsia="zh-CN" w:bidi="zh-CN"/>
      </w:rPr>
    </w:lvl>
    <w:lvl w:ilvl="4" w:tentative="0">
      <w:start w:val="0"/>
      <w:numFmt w:val="bullet"/>
      <w:lvlText w:val="•"/>
      <w:lvlJc w:val="left"/>
      <w:pPr>
        <w:ind w:left="3854" w:hanging="250"/>
      </w:pPr>
      <w:rPr>
        <w:rFonts w:hint="default"/>
        <w:lang w:val="zh-CN" w:eastAsia="zh-CN" w:bidi="zh-CN"/>
      </w:rPr>
    </w:lvl>
    <w:lvl w:ilvl="5" w:tentative="0">
      <w:start w:val="0"/>
      <w:numFmt w:val="bullet"/>
      <w:lvlText w:val="•"/>
      <w:lvlJc w:val="left"/>
      <w:pPr>
        <w:ind w:left="4773" w:hanging="250"/>
      </w:pPr>
      <w:rPr>
        <w:rFonts w:hint="default"/>
        <w:lang w:val="zh-CN" w:eastAsia="zh-CN" w:bidi="zh-CN"/>
      </w:rPr>
    </w:lvl>
    <w:lvl w:ilvl="6" w:tentative="0">
      <w:start w:val="0"/>
      <w:numFmt w:val="bullet"/>
      <w:lvlText w:val="•"/>
      <w:lvlJc w:val="left"/>
      <w:pPr>
        <w:ind w:left="5691" w:hanging="250"/>
      </w:pPr>
      <w:rPr>
        <w:rFonts w:hint="default"/>
        <w:lang w:val="zh-CN" w:eastAsia="zh-CN" w:bidi="zh-CN"/>
      </w:rPr>
    </w:lvl>
    <w:lvl w:ilvl="7" w:tentative="0">
      <w:start w:val="0"/>
      <w:numFmt w:val="bullet"/>
      <w:lvlText w:val="•"/>
      <w:lvlJc w:val="left"/>
      <w:pPr>
        <w:ind w:left="6610" w:hanging="250"/>
      </w:pPr>
      <w:rPr>
        <w:rFonts w:hint="default"/>
        <w:lang w:val="zh-CN" w:eastAsia="zh-CN" w:bidi="zh-CN"/>
      </w:rPr>
    </w:lvl>
    <w:lvl w:ilvl="8" w:tentative="0">
      <w:start w:val="0"/>
      <w:numFmt w:val="bullet"/>
      <w:lvlText w:val="•"/>
      <w:lvlJc w:val="left"/>
      <w:pPr>
        <w:ind w:left="7528" w:hanging="250"/>
      </w:pPr>
      <w:rPr>
        <w:rFonts w:hint="default"/>
        <w:lang w:val="zh-CN" w:eastAsia="zh-CN" w:bidi="zh-CN"/>
      </w:rPr>
    </w:lvl>
  </w:abstractNum>
  <w:abstractNum w:abstractNumId="10">
    <w:nsid w:val="CF092B84"/>
    <w:multiLevelType w:val="multilevel"/>
    <w:tmpl w:val="CF092B84"/>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1">
    <w:nsid w:val="D7F9FE59"/>
    <w:multiLevelType w:val="multilevel"/>
    <w:tmpl w:val="D7F9FE59"/>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2">
    <w:nsid w:val="DCBA6B53"/>
    <w:multiLevelType w:val="multilevel"/>
    <w:tmpl w:val="DCBA6B53"/>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3">
    <w:nsid w:val="E093A4B0"/>
    <w:multiLevelType w:val="multilevel"/>
    <w:tmpl w:val="E093A4B0"/>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4">
    <w:nsid w:val="F4B5D9F5"/>
    <w:multiLevelType w:val="multilevel"/>
    <w:tmpl w:val="F4B5D9F5"/>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5">
    <w:nsid w:val="F7735DC9"/>
    <w:multiLevelType w:val="multilevel"/>
    <w:tmpl w:val="F7735DC9"/>
    <w:lvl w:ilvl="0" w:tentative="0">
      <w:start w:val="1"/>
      <w:numFmt w:val="decimal"/>
      <w:lvlText w:val="%1."/>
      <w:lvlJc w:val="left"/>
      <w:pPr>
        <w:ind w:left="172" w:hanging="250"/>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50"/>
      </w:pPr>
      <w:rPr>
        <w:rFonts w:hint="default"/>
        <w:lang w:val="zh-CN" w:eastAsia="zh-CN" w:bidi="zh-CN"/>
      </w:rPr>
    </w:lvl>
    <w:lvl w:ilvl="2" w:tentative="0">
      <w:start w:val="0"/>
      <w:numFmt w:val="bullet"/>
      <w:lvlText w:val="•"/>
      <w:lvlJc w:val="left"/>
      <w:pPr>
        <w:ind w:left="2017" w:hanging="250"/>
      </w:pPr>
      <w:rPr>
        <w:rFonts w:hint="default"/>
        <w:lang w:val="zh-CN" w:eastAsia="zh-CN" w:bidi="zh-CN"/>
      </w:rPr>
    </w:lvl>
    <w:lvl w:ilvl="3" w:tentative="0">
      <w:start w:val="0"/>
      <w:numFmt w:val="bullet"/>
      <w:lvlText w:val="•"/>
      <w:lvlJc w:val="left"/>
      <w:pPr>
        <w:ind w:left="2935" w:hanging="250"/>
      </w:pPr>
      <w:rPr>
        <w:rFonts w:hint="default"/>
        <w:lang w:val="zh-CN" w:eastAsia="zh-CN" w:bidi="zh-CN"/>
      </w:rPr>
    </w:lvl>
    <w:lvl w:ilvl="4" w:tentative="0">
      <w:start w:val="0"/>
      <w:numFmt w:val="bullet"/>
      <w:lvlText w:val="•"/>
      <w:lvlJc w:val="left"/>
      <w:pPr>
        <w:ind w:left="3854" w:hanging="250"/>
      </w:pPr>
      <w:rPr>
        <w:rFonts w:hint="default"/>
        <w:lang w:val="zh-CN" w:eastAsia="zh-CN" w:bidi="zh-CN"/>
      </w:rPr>
    </w:lvl>
    <w:lvl w:ilvl="5" w:tentative="0">
      <w:start w:val="0"/>
      <w:numFmt w:val="bullet"/>
      <w:lvlText w:val="•"/>
      <w:lvlJc w:val="left"/>
      <w:pPr>
        <w:ind w:left="4773" w:hanging="250"/>
      </w:pPr>
      <w:rPr>
        <w:rFonts w:hint="default"/>
        <w:lang w:val="zh-CN" w:eastAsia="zh-CN" w:bidi="zh-CN"/>
      </w:rPr>
    </w:lvl>
    <w:lvl w:ilvl="6" w:tentative="0">
      <w:start w:val="0"/>
      <w:numFmt w:val="bullet"/>
      <w:lvlText w:val="•"/>
      <w:lvlJc w:val="left"/>
      <w:pPr>
        <w:ind w:left="5691" w:hanging="250"/>
      </w:pPr>
      <w:rPr>
        <w:rFonts w:hint="default"/>
        <w:lang w:val="zh-CN" w:eastAsia="zh-CN" w:bidi="zh-CN"/>
      </w:rPr>
    </w:lvl>
    <w:lvl w:ilvl="7" w:tentative="0">
      <w:start w:val="0"/>
      <w:numFmt w:val="bullet"/>
      <w:lvlText w:val="•"/>
      <w:lvlJc w:val="left"/>
      <w:pPr>
        <w:ind w:left="6610" w:hanging="250"/>
      </w:pPr>
      <w:rPr>
        <w:rFonts w:hint="default"/>
        <w:lang w:val="zh-CN" w:eastAsia="zh-CN" w:bidi="zh-CN"/>
      </w:rPr>
    </w:lvl>
    <w:lvl w:ilvl="8" w:tentative="0">
      <w:start w:val="0"/>
      <w:numFmt w:val="bullet"/>
      <w:lvlText w:val="•"/>
      <w:lvlJc w:val="left"/>
      <w:pPr>
        <w:ind w:left="7528" w:hanging="250"/>
      </w:pPr>
      <w:rPr>
        <w:rFonts w:hint="default"/>
        <w:lang w:val="zh-CN" w:eastAsia="zh-CN" w:bidi="zh-CN"/>
      </w:rPr>
    </w:lvl>
  </w:abstractNum>
  <w:abstractNum w:abstractNumId="16">
    <w:nsid w:val="0053208E"/>
    <w:multiLevelType w:val="multilevel"/>
    <w:tmpl w:val="0053208E"/>
    <w:lvl w:ilvl="0" w:tentative="0">
      <w:start w:val="1"/>
      <w:numFmt w:val="decimal"/>
      <w:lvlText w:val="%1."/>
      <w:lvlJc w:val="left"/>
      <w:pPr>
        <w:ind w:left="172" w:hanging="242"/>
        <w:jc w:val="righ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7">
    <w:nsid w:val="0248C179"/>
    <w:multiLevelType w:val="multilevel"/>
    <w:tmpl w:val="0248C179"/>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8">
    <w:nsid w:val="03D62ECE"/>
    <w:multiLevelType w:val="multilevel"/>
    <w:tmpl w:val="03D62ECE"/>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19">
    <w:nsid w:val="0E640482"/>
    <w:multiLevelType w:val="multilevel"/>
    <w:tmpl w:val="0E640482"/>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0">
    <w:nsid w:val="243FCF68"/>
    <w:multiLevelType w:val="multilevel"/>
    <w:tmpl w:val="243FCF68"/>
    <w:lvl w:ilvl="0" w:tentative="0">
      <w:start w:val="1"/>
      <w:numFmt w:val="decimal"/>
      <w:lvlText w:val="%1."/>
      <w:lvlJc w:val="left"/>
      <w:pPr>
        <w:ind w:left="172" w:hanging="243"/>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3"/>
      </w:pPr>
      <w:rPr>
        <w:rFonts w:hint="default"/>
        <w:lang w:val="zh-CN" w:eastAsia="zh-CN" w:bidi="zh-CN"/>
      </w:rPr>
    </w:lvl>
    <w:lvl w:ilvl="2" w:tentative="0">
      <w:start w:val="0"/>
      <w:numFmt w:val="bullet"/>
      <w:lvlText w:val="•"/>
      <w:lvlJc w:val="left"/>
      <w:pPr>
        <w:ind w:left="2017" w:hanging="243"/>
      </w:pPr>
      <w:rPr>
        <w:rFonts w:hint="default"/>
        <w:lang w:val="zh-CN" w:eastAsia="zh-CN" w:bidi="zh-CN"/>
      </w:rPr>
    </w:lvl>
    <w:lvl w:ilvl="3" w:tentative="0">
      <w:start w:val="0"/>
      <w:numFmt w:val="bullet"/>
      <w:lvlText w:val="•"/>
      <w:lvlJc w:val="left"/>
      <w:pPr>
        <w:ind w:left="2935" w:hanging="243"/>
      </w:pPr>
      <w:rPr>
        <w:rFonts w:hint="default"/>
        <w:lang w:val="zh-CN" w:eastAsia="zh-CN" w:bidi="zh-CN"/>
      </w:rPr>
    </w:lvl>
    <w:lvl w:ilvl="4" w:tentative="0">
      <w:start w:val="0"/>
      <w:numFmt w:val="bullet"/>
      <w:lvlText w:val="•"/>
      <w:lvlJc w:val="left"/>
      <w:pPr>
        <w:ind w:left="3854" w:hanging="243"/>
      </w:pPr>
      <w:rPr>
        <w:rFonts w:hint="default"/>
        <w:lang w:val="zh-CN" w:eastAsia="zh-CN" w:bidi="zh-CN"/>
      </w:rPr>
    </w:lvl>
    <w:lvl w:ilvl="5" w:tentative="0">
      <w:start w:val="0"/>
      <w:numFmt w:val="bullet"/>
      <w:lvlText w:val="•"/>
      <w:lvlJc w:val="left"/>
      <w:pPr>
        <w:ind w:left="4773" w:hanging="243"/>
      </w:pPr>
      <w:rPr>
        <w:rFonts w:hint="default"/>
        <w:lang w:val="zh-CN" w:eastAsia="zh-CN" w:bidi="zh-CN"/>
      </w:rPr>
    </w:lvl>
    <w:lvl w:ilvl="6" w:tentative="0">
      <w:start w:val="0"/>
      <w:numFmt w:val="bullet"/>
      <w:lvlText w:val="•"/>
      <w:lvlJc w:val="left"/>
      <w:pPr>
        <w:ind w:left="5691" w:hanging="243"/>
      </w:pPr>
      <w:rPr>
        <w:rFonts w:hint="default"/>
        <w:lang w:val="zh-CN" w:eastAsia="zh-CN" w:bidi="zh-CN"/>
      </w:rPr>
    </w:lvl>
    <w:lvl w:ilvl="7" w:tentative="0">
      <w:start w:val="0"/>
      <w:numFmt w:val="bullet"/>
      <w:lvlText w:val="•"/>
      <w:lvlJc w:val="left"/>
      <w:pPr>
        <w:ind w:left="6610" w:hanging="243"/>
      </w:pPr>
      <w:rPr>
        <w:rFonts w:hint="default"/>
        <w:lang w:val="zh-CN" w:eastAsia="zh-CN" w:bidi="zh-CN"/>
      </w:rPr>
    </w:lvl>
    <w:lvl w:ilvl="8" w:tentative="0">
      <w:start w:val="0"/>
      <w:numFmt w:val="bullet"/>
      <w:lvlText w:val="•"/>
      <w:lvlJc w:val="left"/>
      <w:pPr>
        <w:ind w:left="7528" w:hanging="243"/>
      </w:pPr>
      <w:rPr>
        <w:rFonts w:hint="default"/>
        <w:lang w:val="zh-CN" w:eastAsia="zh-CN" w:bidi="zh-CN"/>
      </w:rPr>
    </w:lvl>
  </w:abstractNum>
  <w:abstractNum w:abstractNumId="21">
    <w:nsid w:val="2470EC97"/>
    <w:multiLevelType w:val="multilevel"/>
    <w:tmpl w:val="2470EC97"/>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2">
    <w:nsid w:val="25B654F3"/>
    <w:multiLevelType w:val="multilevel"/>
    <w:tmpl w:val="25B654F3"/>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3">
    <w:nsid w:val="2A8F537B"/>
    <w:multiLevelType w:val="multilevel"/>
    <w:tmpl w:val="2A8F537B"/>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4">
    <w:nsid w:val="30FC5B15"/>
    <w:multiLevelType w:val="multilevel"/>
    <w:tmpl w:val="30FC5B15"/>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5">
    <w:nsid w:val="39A0D9AC"/>
    <w:multiLevelType w:val="multilevel"/>
    <w:tmpl w:val="39A0D9AC"/>
    <w:lvl w:ilvl="0" w:tentative="0">
      <w:start w:val="1"/>
      <w:numFmt w:val="decimal"/>
      <w:lvlText w:val="%1."/>
      <w:lvlJc w:val="left"/>
      <w:pPr>
        <w:ind w:left="172" w:hanging="245"/>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5"/>
      </w:pPr>
      <w:rPr>
        <w:rFonts w:hint="default"/>
        <w:lang w:val="zh-CN" w:eastAsia="zh-CN" w:bidi="zh-CN"/>
      </w:rPr>
    </w:lvl>
    <w:lvl w:ilvl="2" w:tentative="0">
      <w:start w:val="0"/>
      <w:numFmt w:val="bullet"/>
      <w:lvlText w:val="•"/>
      <w:lvlJc w:val="left"/>
      <w:pPr>
        <w:ind w:left="2017" w:hanging="245"/>
      </w:pPr>
      <w:rPr>
        <w:rFonts w:hint="default"/>
        <w:lang w:val="zh-CN" w:eastAsia="zh-CN" w:bidi="zh-CN"/>
      </w:rPr>
    </w:lvl>
    <w:lvl w:ilvl="3" w:tentative="0">
      <w:start w:val="0"/>
      <w:numFmt w:val="bullet"/>
      <w:lvlText w:val="•"/>
      <w:lvlJc w:val="left"/>
      <w:pPr>
        <w:ind w:left="2935" w:hanging="245"/>
      </w:pPr>
      <w:rPr>
        <w:rFonts w:hint="default"/>
        <w:lang w:val="zh-CN" w:eastAsia="zh-CN" w:bidi="zh-CN"/>
      </w:rPr>
    </w:lvl>
    <w:lvl w:ilvl="4" w:tentative="0">
      <w:start w:val="0"/>
      <w:numFmt w:val="bullet"/>
      <w:lvlText w:val="•"/>
      <w:lvlJc w:val="left"/>
      <w:pPr>
        <w:ind w:left="3854" w:hanging="245"/>
      </w:pPr>
      <w:rPr>
        <w:rFonts w:hint="default"/>
        <w:lang w:val="zh-CN" w:eastAsia="zh-CN" w:bidi="zh-CN"/>
      </w:rPr>
    </w:lvl>
    <w:lvl w:ilvl="5" w:tentative="0">
      <w:start w:val="0"/>
      <w:numFmt w:val="bullet"/>
      <w:lvlText w:val="•"/>
      <w:lvlJc w:val="left"/>
      <w:pPr>
        <w:ind w:left="4773" w:hanging="245"/>
      </w:pPr>
      <w:rPr>
        <w:rFonts w:hint="default"/>
        <w:lang w:val="zh-CN" w:eastAsia="zh-CN" w:bidi="zh-CN"/>
      </w:rPr>
    </w:lvl>
    <w:lvl w:ilvl="6" w:tentative="0">
      <w:start w:val="0"/>
      <w:numFmt w:val="bullet"/>
      <w:lvlText w:val="•"/>
      <w:lvlJc w:val="left"/>
      <w:pPr>
        <w:ind w:left="5691" w:hanging="245"/>
      </w:pPr>
      <w:rPr>
        <w:rFonts w:hint="default"/>
        <w:lang w:val="zh-CN" w:eastAsia="zh-CN" w:bidi="zh-CN"/>
      </w:rPr>
    </w:lvl>
    <w:lvl w:ilvl="7" w:tentative="0">
      <w:start w:val="0"/>
      <w:numFmt w:val="bullet"/>
      <w:lvlText w:val="•"/>
      <w:lvlJc w:val="left"/>
      <w:pPr>
        <w:ind w:left="6610" w:hanging="245"/>
      </w:pPr>
      <w:rPr>
        <w:rFonts w:hint="default"/>
        <w:lang w:val="zh-CN" w:eastAsia="zh-CN" w:bidi="zh-CN"/>
      </w:rPr>
    </w:lvl>
    <w:lvl w:ilvl="8" w:tentative="0">
      <w:start w:val="0"/>
      <w:numFmt w:val="bullet"/>
      <w:lvlText w:val="•"/>
      <w:lvlJc w:val="left"/>
      <w:pPr>
        <w:ind w:left="7528" w:hanging="245"/>
      </w:pPr>
      <w:rPr>
        <w:rFonts w:hint="default"/>
        <w:lang w:val="zh-CN" w:eastAsia="zh-CN" w:bidi="zh-CN"/>
      </w:rPr>
    </w:lvl>
  </w:abstractNum>
  <w:abstractNum w:abstractNumId="26">
    <w:nsid w:val="46A08BB8"/>
    <w:multiLevelType w:val="multilevel"/>
    <w:tmpl w:val="46A08BB8"/>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7">
    <w:nsid w:val="4C1BAE26"/>
    <w:multiLevelType w:val="multilevel"/>
    <w:tmpl w:val="4C1BAE26"/>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8">
    <w:nsid w:val="4D4DC07F"/>
    <w:multiLevelType w:val="multilevel"/>
    <w:tmpl w:val="4D4DC07F"/>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29">
    <w:nsid w:val="4D94DA66"/>
    <w:multiLevelType w:val="multilevel"/>
    <w:tmpl w:val="4D94DA66"/>
    <w:lvl w:ilvl="0" w:tentative="0">
      <w:start w:val="1"/>
      <w:numFmt w:val="decimal"/>
      <w:lvlText w:val="%1"/>
      <w:lvlJc w:val="left"/>
      <w:pPr>
        <w:ind w:left="652" w:hanging="480"/>
        <w:jc w:val="left"/>
      </w:pPr>
      <w:rPr>
        <w:rFonts w:hint="default"/>
        <w:lang w:val="zh-CN" w:eastAsia="zh-CN" w:bidi="zh-CN"/>
      </w:rPr>
    </w:lvl>
    <w:lvl w:ilvl="1" w:tentative="0">
      <w:start w:val="5"/>
      <w:numFmt w:val="decimal"/>
      <w:lvlText w:val="%1.%2"/>
      <w:lvlJc w:val="left"/>
      <w:pPr>
        <w:ind w:left="652" w:hanging="480"/>
        <w:jc w:val="left"/>
      </w:pPr>
      <w:rPr>
        <w:rFonts w:hint="default" w:ascii="Times New Roman" w:hAnsi="Times New Roman" w:eastAsia="Times New Roman" w:cs="Times New Roman"/>
        <w:spacing w:val="-1"/>
        <w:w w:val="99"/>
        <w:sz w:val="32"/>
        <w:szCs w:val="32"/>
        <w:lang w:val="zh-CN" w:eastAsia="zh-CN" w:bidi="zh-CN"/>
      </w:rPr>
    </w:lvl>
    <w:lvl w:ilvl="2" w:tentative="0">
      <w:start w:val="1"/>
      <w:numFmt w:val="decimal"/>
      <w:lvlText w:val="%3."/>
      <w:lvlJc w:val="left"/>
      <w:pPr>
        <w:ind w:left="1052" w:hanging="243"/>
        <w:jc w:val="left"/>
      </w:pPr>
      <w:rPr>
        <w:rFonts w:hint="default" w:ascii="Times New Roman" w:hAnsi="Times New Roman" w:eastAsia="Times New Roman" w:cs="Times New Roman"/>
        <w:spacing w:val="1"/>
        <w:w w:val="99"/>
        <w:sz w:val="30"/>
        <w:szCs w:val="30"/>
        <w:lang w:val="zh-CN" w:eastAsia="zh-CN" w:bidi="zh-CN"/>
      </w:rPr>
    </w:lvl>
    <w:lvl w:ilvl="3" w:tentative="0">
      <w:start w:val="0"/>
      <w:numFmt w:val="bullet"/>
      <w:lvlText w:val="•"/>
      <w:lvlJc w:val="left"/>
      <w:pPr>
        <w:ind w:left="2905" w:hanging="243"/>
      </w:pPr>
      <w:rPr>
        <w:rFonts w:hint="default"/>
        <w:lang w:val="zh-CN" w:eastAsia="zh-CN" w:bidi="zh-CN"/>
      </w:rPr>
    </w:lvl>
    <w:lvl w:ilvl="4" w:tentative="0">
      <w:start w:val="0"/>
      <w:numFmt w:val="bullet"/>
      <w:lvlText w:val="•"/>
      <w:lvlJc w:val="left"/>
      <w:pPr>
        <w:ind w:left="3828" w:hanging="243"/>
      </w:pPr>
      <w:rPr>
        <w:rFonts w:hint="default"/>
        <w:lang w:val="zh-CN" w:eastAsia="zh-CN" w:bidi="zh-CN"/>
      </w:rPr>
    </w:lvl>
    <w:lvl w:ilvl="5" w:tentative="0">
      <w:start w:val="0"/>
      <w:numFmt w:val="bullet"/>
      <w:lvlText w:val="•"/>
      <w:lvlJc w:val="left"/>
      <w:pPr>
        <w:ind w:left="4751" w:hanging="243"/>
      </w:pPr>
      <w:rPr>
        <w:rFonts w:hint="default"/>
        <w:lang w:val="zh-CN" w:eastAsia="zh-CN" w:bidi="zh-CN"/>
      </w:rPr>
    </w:lvl>
    <w:lvl w:ilvl="6" w:tentative="0">
      <w:start w:val="0"/>
      <w:numFmt w:val="bullet"/>
      <w:lvlText w:val="•"/>
      <w:lvlJc w:val="left"/>
      <w:pPr>
        <w:ind w:left="5674" w:hanging="243"/>
      </w:pPr>
      <w:rPr>
        <w:rFonts w:hint="default"/>
        <w:lang w:val="zh-CN" w:eastAsia="zh-CN" w:bidi="zh-CN"/>
      </w:rPr>
    </w:lvl>
    <w:lvl w:ilvl="7" w:tentative="0">
      <w:start w:val="0"/>
      <w:numFmt w:val="bullet"/>
      <w:lvlText w:val="•"/>
      <w:lvlJc w:val="left"/>
      <w:pPr>
        <w:ind w:left="6597" w:hanging="243"/>
      </w:pPr>
      <w:rPr>
        <w:rFonts w:hint="default"/>
        <w:lang w:val="zh-CN" w:eastAsia="zh-CN" w:bidi="zh-CN"/>
      </w:rPr>
    </w:lvl>
    <w:lvl w:ilvl="8" w:tentative="0">
      <w:start w:val="0"/>
      <w:numFmt w:val="bullet"/>
      <w:lvlText w:val="•"/>
      <w:lvlJc w:val="left"/>
      <w:pPr>
        <w:ind w:left="7520" w:hanging="243"/>
      </w:pPr>
      <w:rPr>
        <w:rFonts w:hint="default"/>
        <w:lang w:val="zh-CN" w:eastAsia="zh-CN" w:bidi="zh-CN"/>
      </w:rPr>
    </w:lvl>
  </w:abstractNum>
  <w:abstractNum w:abstractNumId="30">
    <w:nsid w:val="58765686"/>
    <w:multiLevelType w:val="multilevel"/>
    <w:tmpl w:val="58765686"/>
    <w:lvl w:ilvl="0" w:tentative="0">
      <w:start w:val="43"/>
      <w:numFmt w:val="decimal"/>
      <w:lvlText w:val="%1"/>
      <w:lvlJc w:val="left"/>
      <w:pPr>
        <w:ind w:left="731" w:hanging="560"/>
        <w:jc w:val="left"/>
      </w:pPr>
      <w:rPr>
        <w:rFonts w:hint="default"/>
        <w:lang w:val="zh-CN" w:eastAsia="zh-CN" w:bidi="zh-CN"/>
      </w:rPr>
    </w:lvl>
    <w:lvl w:ilvl="1" w:tentative="0">
      <w:start w:val="3"/>
      <w:numFmt w:val="decimal"/>
      <w:lvlText w:val="%1.%2"/>
      <w:lvlJc w:val="left"/>
      <w:pPr>
        <w:ind w:left="731" w:hanging="560"/>
        <w:jc w:val="left"/>
      </w:pPr>
      <w:rPr>
        <w:rFonts w:hint="default" w:ascii="Times New Roman" w:hAnsi="Times New Roman" w:eastAsia="Times New Roman" w:cs="Times New Roman"/>
        <w:spacing w:val="-2"/>
        <w:w w:val="99"/>
        <w:sz w:val="30"/>
        <w:szCs w:val="30"/>
        <w:lang w:val="zh-CN" w:eastAsia="zh-CN" w:bidi="zh-CN"/>
      </w:rPr>
    </w:lvl>
    <w:lvl w:ilvl="2" w:tentative="0">
      <w:start w:val="1"/>
      <w:numFmt w:val="decimal"/>
      <w:lvlText w:val="%3."/>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3" w:tentative="0">
      <w:start w:val="0"/>
      <w:numFmt w:val="bullet"/>
      <w:lvlText w:val="•"/>
      <w:lvlJc w:val="left"/>
      <w:pPr>
        <w:ind w:left="2656" w:hanging="242"/>
      </w:pPr>
      <w:rPr>
        <w:rFonts w:hint="default"/>
        <w:lang w:val="zh-CN" w:eastAsia="zh-CN" w:bidi="zh-CN"/>
      </w:rPr>
    </w:lvl>
    <w:lvl w:ilvl="4" w:tentative="0">
      <w:start w:val="0"/>
      <w:numFmt w:val="bullet"/>
      <w:lvlText w:val="•"/>
      <w:lvlJc w:val="left"/>
      <w:pPr>
        <w:ind w:left="3615" w:hanging="242"/>
      </w:pPr>
      <w:rPr>
        <w:rFonts w:hint="default"/>
        <w:lang w:val="zh-CN" w:eastAsia="zh-CN" w:bidi="zh-CN"/>
      </w:rPr>
    </w:lvl>
    <w:lvl w:ilvl="5" w:tentative="0">
      <w:start w:val="0"/>
      <w:numFmt w:val="bullet"/>
      <w:lvlText w:val="•"/>
      <w:lvlJc w:val="left"/>
      <w:pPr>
        <w:ind w:left="4573" w:hanging="242"/>
      </w:pPr>
      <w:rPr>
        <w:rFonts w:hint="default"/>
        <w:lang w:val="zh-CN" w:eastAsia="zh-CN" w:bidi="zh-CN"/>
      </w:rPr>
    </w:lvl>
    <w:lvl w:ilvl="6" w:tentative="0">
      <w:start w:val="0"/>
      <w:numFmt w:val="bullet"/>
      <w:lvlText w:val="•"/>
      <w:lvlJc w:val="left"/>
      <w:pPr>
        <w:ind w:left="5532" w:hanging="242"/>
      </w:pPr>
      <w:rPr>
        <w:rFonts w:hint="default"/>
        <w:lang w:val="zh-CN" w:eastAsia="zh-CN" w:bidi="zh-CN"/>
      </w:rPr>
    </w:lvl>
    <w:lvl w:ilvl="7" w:tentative="0">
      <w:start w:val="0"/>
      <w:numFmt w:val="bullet"/>
      <w:lvlText w:val="•"/>
      <w:lvlJc w:val="left"/>
      <w:pPr>
        <w:ind w:left="6490" w:hanging="242"/>
      </w:pPr>
      <w:rPr>
        <w:rFonts w:hint="default"/>
        <w:lang w:val="zh-CN" w:eastAsia="zh-CN" w:bidi="zh-CN"/>
      </w:rPr>
    </w:lvl>
    <w:lvl w:ilvl="8" w:tentative="0">
      <w:start w:val="0"/>
      <w:numFmt w:val="bullet"/>
      <w:lvlText w:val="•"/>
      <w:lvlJc w:val="left"/>
      <w:pPr>
        <w:ind w:left="7449" w:hanging="242"/>
      </w:pPr>
      <w:rPr>
        <w:rFonts w:hint="default"/>
        <w:lang w:val="zh-CN" w:eastAsia="zh-CN" w:bidi="zh-CN"/>
      </w:rPr>
    </w:lvl>
  </w:abstractNum>
  <w:abstractNum w:abstractNumId="31">
    <w:nsid w:val="59ADCABA"/>
    <w:multiLevelType w:val="multilevel"/>
    <w:tmpl w:val="59ADCABA"/>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32">
    <w:nsid w:val="5A241D34"/>
    <w:multiLevelType w:val="multilevel"/>
    <w:tmpl w:val="5A241D34"/>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33">
    <w:nsid w:val="60382F6E"/>
    <w:multiLevelType w:val="multilevel"/>
    <w:tmpl w:val="60382F6E"/>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34">
    <w:nsid w:val="629F7852"/>
    <w:multiLevelType w:val="multilevel"/>
    <w:tmpl w:val="629F7852"/>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35">
    <w:nsid w:val="72183CF9"/>
    <w:multiLevelType w:val="multilevel"/>
    <w:tmpl w:val="72183CF9"/>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36">
    <w:nsid w:val="77ECEA79"/>
    <w:multiLevelType w:val="multilevel"/>
    <w:tmpl w:val="77ECEA79"/>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37">
    <w:nsid w:val="7C246926"/>
    <w:multiLevelType w:val="multilevel"/>
    <w:tmpl w:val="7C246926"/>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abstractNum w:abstractNumId="38">
    <w:nsid w:val="7DEC2089"/>
    <w:multiLevelType w:val="multilevel"/>
    <w:tmpl w:val="7DEC2089"/>
    <w:lvl w:ilvl="0" w:tentative="0">
      <w:start w:val="1"/>
      <w:numFmt w:val="decimal"/>
      <w:lvlText w:val="%1."/>
      <w:lvlJc w:val="left"/>
      <w:pPr>
        <w:ind w:left="172"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98" w:hanging="242"/>
      </w:pPr>
      <w:rPr>
        <w:rFonts w:hint="default"/>
        <w:lang w:val="zh-CN" w:eastAsia="zh-CN" w:bidi="zh-CN"/>
      </w:rPr>
    </w:lvl>
    <w:lvl w:ilvl="2" w:tentative="0">
      <w:start w:val="0"/>
      <w:numFmt w:val="bullet"/>
      <w:lvlText w:val="•"/>
      <w:lvlJc w:val="left"/>
      <w:pPr>
        <w:ind w:left="2017" w:hanging="242"/>
      </w:pPr>
      <w:rPr>
        <w:rFonts w:hint="default"/>
        <w:lang w:val="zh-CN" w:eastAsia="zh-CN" w:bidi="zh-CN"/>
      </w:rPr>
    </w:lvl>
    <w:lvl w:ilvl="3" w:tentative="0">
      <w:start w:val="0"/>
      <w:numFmt w:val="bullet"/>
      <w:lvlText w:val="•"/>
      <w:lvlJc w:val="left"/>
      <w:pPr>
        <w:ind w:left="2935" w:hanging="242"/>
      </w:pPr>
      <w:rPr>
        <w:rFonts w:hint="default"/>
        <w:lang w:val="zh-CN" w:eastAsia="zh-CN" w:bidi="zh-CN"/>
      </w:rPr>
    </w:lvl>
    <w:lvl w:ilvl="4" w:tentative="0">
      <w:start w:val="0"/>
      <w:numFmt w:val="bullet"/>
      <w:lvlText w:val="•"/>
      <w:lvlJc w:val="left"/>
      <w:pPr>
        <w:ind w:left="3854" w:hanging="242"/>
      </w:pPr>
      <w:rPr>
        <w:rFonts w:hint="default"/>
        <w:lang w:val="zh-CN" w:eastAsia="zh-CN" w:bidi="zh-CN"/>
      </w:rPr>
    </w:lvl>
    <w:lvl w:ilvl="5" w:tentative="0">
      <w:start w:val="0"/>
      <w:numFmt w:val="bullet"/>
      <w:lvlText w:val="•"/>
      <w:lvlJc w:val="left"/>
      <w:pPr>
        <w:ind w:left="4773" w:hanging="242"/>
      </w:pPr>
      <w:rPr>
        <w:rFonts w:hint="default"/>
        <w:lang w:val="zh-CN" w:eastAsia="zh-CN" w:bidi="zh-CN"/>
      </w:rPr>
    </w:lvl>
    <w:lvl w:ilvl="6" w:tentative="0">
      <w:start w:val="0"/>
      <w:numFmt w:val="bullet"/>
      <w:lvlText w:val="•"/>
      <w:lvlJc w:val="left"/>
      <w:pPr>
        <w:ind w:left="5691" w:hanging="242"/>
      </w:pPr>
      <w:rPr>
        <w:rFonts w:hint="default"/>
        <w:lang w:val="zh-CN" w:eastAsia="zh-CN" w:bidi="zh-CN"/>
      </w:rPr>
    </w:lvl>
    <w:lvl w:ilvl="7" w:tentative="0">
      <w:start w:val="0"/>
      <w:numFmt w:val="bullet"/>
      <w:lvlText w:val="•"/>
      <w:lvlJc w:val="left"/>
      <w:pPr>
        <w:ind w:left="6610" w:hanging="242"/>
      </w:pPr>
      <w:rPr>
        <w:rFonts w:hint="default"/>
        <w:lang w:val="zh-CN" w:eastAsia="zh-CN" w:bidi="zh-CN"/>
      </w:rPr>
    </w:lvl>
    <w:lvl w:ilvl="8" w:tentative="0">
      <w:start w:val="0"/>
      <w:numFmt w:val="bullet"/>
      <w:lvlText w:val="•"/>
      <w:lvlJc w:val="left"/>
      <w:pPr>
        <w:ind w:left="7528" w:hanging="242"/>
      </w:pPr>
      <w:rPr>
        <w:rFonts w:hint="default"/>
        <w:lang w:val="zh-CN" w:eastAsia="zh-CN" w:bidi="zh-CN"/>
      </w:rPr>
    </w:lvl>
  </w:abstractNum>
  <w:num w:numId="1">
    <w:abstractNumId w:val="16"/>
  </w:num>
  <w:num w:numId="2">
    <w:abstractNumId w:val="10"/>
  </w:num>
  <w:num w:numId="3">
    <w:abstractNumId w:val="31"/>
  </w:num>
  <w:num w:numId="4">
    <w:abstractNumId w:val="8"/>
  </w:num>
  <w:num w:numId="5">
    <w:abstractNumId w:val="6"/>
  </w:num>
  <w:num w:numId="6">
    <w:abstractNumId w:val="18"/>
  </w:num>
  <w:num w:numId="7">
    <w:abstractNumId w:val="22"/>
  </w:num>
  <w:num w:numId="8">
    <w:abstractNumId w:val="35"/>
  </w:num>
  <w:num w:numId="9">
    <w:abstractNumId w:val="17"/>
  </w:num>
  <w:num w:numId="10">
    <w:abstractNumId w:val="2"/>
  </w:num>
  <w:num w:numId="11">
    <w:abstractNumId w:val="23"/>
  </w:num>
  <w:num w:numId="12">
    <w:abstractNumId w:val="32"/>
  </w:num>
  <w:num w:numId="13">
    <w:abstractNumId w:val="9"/>
  </w:num>
  <w:num w:numId="14">
    <w:abstractNumId w:val="28"/>
  </w:num>
  <w:num w:numId="15">
    <w:abstractNumId w:val="14"/>
  </w:num>
  <w:num w:numId="16">
    <w:abstractNumId w:val="21"/>
  </w:num>
  <w:num w:numId="17">
    <w:abstractNumId w:val="12"/>
  </w:num>
  <w:num w:numId="18">
    <w:abstractNumId w:val="11"/>
  </w:num>
  <w:num w:numId="19">
    <w:abstractNumId w:val="4"/>
  </w:num>
  <w:num w:numId="20">
    <w:abstractNumId w:val="27"/>
  </w:num>
  <w:num w:numId="21">
    <w:abstractNumId w:val="33"/>
  </w:num>
  <w:num w:numId="22">
    <w:abstractNumId w:val="19"/>
  </w:num>
  <w:num w:numId="23">
    <w:abstractNumId w:val="26"/>
  </w:num>
  <w:num w:numId="24">
    <w:abstractNumId w:val="5"/>
  </w:num>
  <w:num w:numId="25">
    <w:abstractNumId w:val="37"/>
  </w:num>
  <w:num w:numId="26">
    <w:abstractNumId w:val="36"/>
  </w:num>
  <w:num w:numId="27">
    <w:abstractNumId w:val="7"/>
  </w:num>
  <w:num w:numId="28">
    <w:abstractNumId w:val="34"/>
  </w:num>
  <w:num w:numId="29">
    <w:abstractNumId w:val="3"/>
  </w:num>
  <w:num w:numId="30">
    <w:abstractNumId w:val="25"/>
  </w:num>
  <w:num w:numId="31">
    <w:abstractNumId w:val="1"/>
  </w:num>
  <w:num w:numId="32">
    <w:abstractNumId w:val="30"/>
  </w:num>
  <w:num w:numId="33">
    <w:abstractNumId w:val="38"/>
  </w:num>
  <w:num w:numId="34">
    <w:abstractNumId w:val="0"/>
  </w:num>
  <w:num w:numId="35">
    <w:abstractNumId w:val="20"/>
  </w:num>
  <w:num w:numId="36">
    <w:abstractNumId w:val="29"/>
  </w:num>
  <w:num w:numId="37">
    <w:abstractNumId w:val="15"/>
  </w:num>
  <w:num w:numId="38">
    <w:abstractNumId w:val="1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66617"/>
    <w:rsid w:val="1FA57A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6"/>
      <w:ind w:left="810"/>
      <w:outlineLvl w:val="1"/>
    </w:pPr>
    <w:rPr>
      <w:rFonts w:ascii="楷体" w:hAnsi="楷体" w:eastAsia="楷体" w:cs="楷体"/>
      <w:b/>
      <w:bCs/>
      <w:sz w:val="32"/>
      <w:szCs w:val="3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43"/>
      <w:ind w:left="171" w:right="429" w:firstLine="638"/>
    </w:pPr>
    <w:rPr>
      <w:rFonts w:ascii="仿宋" w:hAnsi="仿宋" w:eastAsia="仿宋" w:cs="仿宋"/>
      <w:sz w:val="32"/>
      <w:szCs w:val="32"/>
      <w:lang w:val="zh-CN" w:eastAsia="zh-CN" w:bidi="zh-CN"/>
    </w:rPr>
  </w:style>
  <w:style w:type="paragraph" w:styleId="4">
    <w:name w:val="toc 3"/>
    <w:basedOn w:val="1"/>
    <w:next w:val="1"/>
    <w:qFormat/>
    <w:uiPriority w:val="1"/>
    <w:pPr>
      <w:spacing w:before="217"/>
      <w:ind w:left="400" w:right="657" w:firstLine="600"/>
      <w:jc w:val="both"/>
    </w:pPr>
    <w:rPr>
      <w:rFonts w:ascii="楷体" w:hAnsi="楷体" w:eastAsia="楷体" w:cs="楷体"/>
      <w:sz w:val="30"/>
      <w:szCs w:val="30"/>
      <w:lang w:val="zh-CN" w:eastAsia="zh-CN" w:bidi="zh-CN"/>
    </w:rPr>
  </w:style>
  <w:style w:type="paragraph" w:styleId="5">
    <w:name w:val="toc 1"/>
    <w:basedOn w:val="1"/>
    <w:next w:val="1"/>
    <w:qFormat/>
    <w:uiPriority w:val="1"/>
    <w:pPr>
      <w:ind w:left="400"/>
    </w:pPr>
    <w:rPr>
      <w:rFonts w:ascii="楷体" w:hAnsi="楷体" w:eastAsia="楷体" w:cs="楷体"/>
      <w:b/>
      <w:bCs/>
      <w:sz w:val="32"/>
      <w:szCs w:val="32"/>
      <w:lang w:val="zh-CN" w:eastAsia="zh-CN" w:bidi="zh-CN"/>
    </w:rPr>
  </w:style>
  <w:style w:type="paragraph" w:styleId="6">
    <w:name w:val="toc 2"/>
    <w:basedOn w:val="1"/>
    <w:next w:val="1"/>
    <w:qFormat/>
    <w:uiPriority w:val="1"/>
    <w:pPr>
      <w:spacing w:before="76"/>
      <w:ind w:left="400" w:right="508"/>
    </w:pPr>
    <w:rPr>
      <w:rFonts w:ascii="楷体" w:hAnsi="楷体" w:eastAsia="楷体" w:cs="楷体"/>
      <w:sz w:val="30"/>
      <w:szCs w:val="30"/>
      <w:lang w:val="zh-CN" w:eastAsia="zh-CN" w:bidi="zh-CN"/>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pPr>
      <w:spacing w:before="7"/>
      <w:ind w:left="171" w:right="429" w:firstLine="638"/>
      <w:jc w:val="both"/>
    </w:pPr>
    <w:rPr>
      <w:rFonts w:ascii="仿宋" w:hAnsi="仿宋" w:eastAsia="仿宋" w:cs="仿宋"/>
      <w:lang w:val="zh-CN" w:eastAsia="zh-CN" w:bidi="zh-CN"/>
    </w:rPr>
  </w:style>
  <w:style w:type="paragraph" w:customStyle="1" w:styleId="11">
    <w:name w:val="Table Paragraph"/>
    <w:basedOn w:val="1"/>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2019-09-17T07:33:00Z</dcterms:created>
  <dc:creator>技术服务,综合部门,综合处核稿</dc:creator>
  <cp:lastModifiedBy>ceragem</cp:lastModifiedBy>
  <dcterms:modified xsi:type="dcterms:W3CDTF">2019-09-17T07:37:54Z</dcterms:modified>
  <dc:title>国家卫生计生委请示报告专用纸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WPS 文字</vt:lpwstr>
  </property>
  <property fmtid="{D5CDD505-2E9C-101B-9397-08002B2CF9AE}" pid="4" name="LastSaved">
    <vt:filetime>2019-09-17T00:00:00Z</vt:filetime>
  </property>
  <property fmtid="{D5CDD505-2E9C-101B-9397-08002B2CF9AE}" pid="5" name="KSOProductBuildVer">
    <vt:lpwstr>2052-11.1.0.8976</vt:lpwstr>
  </property>
</Properties>
</file>